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FA742E">
      <w:pPr>
        <w:pStyle w:val="32"/>
        <w:spacing w:before="120" w:beforeAutospacing="0" w:after="120" w:afterAutospacing="0" w:line="360" w:lineRule="auto"/>
        <w:rPr>
          <w:color w:val="auto"/>
        </w:rPr>
      </w:pPr>
      <w:r>
        <w:rPr>
          <w:color w:val="auto"/>
        </w:rPr>
        <w:t> </w:t>
      </w:r>
    </w:p>
    <w:p w14:paraId="123E033A">
      <w:pPr>
        <w:pStyle w:val="32"/>
        <w:spacing w:before="120" w:beforeAutospacing="0" w:after="120" w:afterAutospacing="0" w:line="360" w:lineRule="auto"/>
        <w:jc w:val="center"/>
        <w:rPr>
          <w:color w:val="auto"/>
        </w:rPr>
      </w:pPr>
      <w:r>
        <w:rPr>
          <w:rFonts w:ascii="Arial" w:hAnsi="Arial" w:cs="Arial"/>
          <w:b/>
          <w:color w:val="auto"/>
          <w:sz w:val="84"/>
          <w:szCs w:val="84"/>
        </w:rPr>
        <w:t>招 标 文 件</w:t>
      </w:r>
    </w:p>
    <w:p w14:paraId="0A601AE9">
      <w:pPr>
        <w:pStyle w:val="32"/>
        <w:spacing w:before="120" w:beforeAutospacing="0" w:after="120" w:afterAutospacing="0" w:line="360" w:lineRule="auto"/>
        <w:rPr>
          <w:rFonts w:ascii="Arial" w:hAnsi="Arial" w:cs="Arial"/>
          <w:b/>
          <w:color w:val="auto"/>
          <w:sz w:val="32"/>
          <w:szCs w:val="32"/>
        </w:rPr>
      </w:pPr>
    </w:p>
    <w:p w14:paraId="101DF1F2">
      <w:pPr>
        <w:pStyle w:val="32"/>
        <w:spacing w:before="120" w:beforeAutospacing="0" w:after="120" w:afterAutospacing="0" w:line="360" w:lineRule="auto"/>
        <w:rPr>
          <w:color w:val="auto"/>
          <w:spacing w:val="-6"/>
        </w:rPr>
      </w:pPr>
      <w:r>
        <w:rPr>
          <w:rFonts w:ascii="Arial" w:hAnsi="Arial" w:cs="Arial"/>
          <w:b/>
          <w:color w:val="auto"/>
          <w:spacing w:val="-6"/>
          <w:sz w:val="32"/>
          <w:szCs w:val="32"/>
        </w:rPr>
        <w:t>项目名称：</w:t>
      </w:r>
      <w:r>
        <w:rPr>
          <w:rFonts w:hint="eastAsia" w:ascii="Arial" w:hAnsi="Arial" w:cs="Arial"/>
          <w:b/>
          <w:color w:val="auto"/>
          <w:spacing w:val="-6"/>
          <w:sz w:val="32"/>
          <w:szCs w:val="32"/>
        </w:rPr>
        <w:t>盐城市公安局</w:t>
      </w:r>
      <w:r>
        <w:rPr>
          <w:rFonts w:hint="eastAsia" w:ascii="Arial" w:hAnsi="Arial" w:eastAsia="宋体" w:cs="Arial"/>
          <w:b/>
          <w:color w:val="auto"/>
          <w:spacing w:val="-6"/>
          <w:sz w:val="32"/>
          <w:szCs w:val="32"/>
          <w:lang w:eastAsia="zh-CN"/>
        </w:rPr>
        <w:t>侦查研判类</w:t>
      </w:r>
      <w:r>
        <w:rPr>
          <w:rFonts w:hint="eastAsia" w:ascii="Arial" w:hAnsi="Arial" w:cs="Arial"/>
          <w:b/>
          <w:color w:val="auto"/>
          <w:spacing w:val="-6"/>
          <w:sz w:val="32"/>
          <w:szCs w:val="32"/>
        </w:rPr>
        <w:t>互联网数据支撑服务项目</w:t>
      </w:r>
    </w:p>
    <w:p w14:paraId="033B57DB">
      <w:pPr>
        <w:pStyle w:val="32"/>
        <w:spacing w:beforeAutospacing="0" w:afterAutospacing="0"/>
        <w:jc w:val="both"/>
        <w:rPr>
          <w:rFonts w:hint="default" w:ascii="Arial" w:hAnsi="Arial" w:eastAsia="宋体" w:cs="Arial"/>
          <w:b/>
          <w:color w:val="auto"/>
          <w:sz w:val="32"/>
          <w:szCs w:val="32"/>
          <w:lang w:val="en-US" w:eastAsia="zh-CN"/>
        </w:rPr>
      </w:pPr>
      <w:r>
        <w:rPr>
          <w:rFonts w:ascii="Times New Roman" w:hAnsi="Times New Roman"/>
          <w:b/>
          <w:color w:val="auto"/>
          <w:sz w:val="32"/>
          <w:szCs w:val="32"/>
        </w:rPr>
        <w:t>项目编号：</w:t>
      </w:r>
      <w:r>
        <w:rPr>
          <w:rFonts w:hint="eastAsia" w:ascii="Arial" w:hAnsi="Arial" w:cs="Arial"/>
          <w:b/>
          <w:color w:val="auto"/>
          <w:sz w:val="32"/>
          <w:szCs w:val="32"/>
        </w:rPr>
        <w:t>JSZC-320900-YCZH-G2025-00</w:t>
      </w:r>
      <w:r>
        <w:rPr>
          <w:rFonts w:hint="eastAsia" w:ascii="Arial" w:hAnsi="Arial" w:eastAsia="宋体" w:cs="Arial"/>
          <w:b/>
          <w:color w:val="auto"/>
          <w:sz w:val="32"/>
          <w:szCs w:val="32"/>
          <w:lang w:val="en-US" w:eastAsia="zh-CN"/>
        </w:rPr>
        <w:t>14</w:t>
      </w:r>
    </w:p>
    <w:p w14:paraId="0E73FA19">
      <w:pPr>
        <w:pStyle w:val="32"/>
        <w:spacing w:beforeAutospacing="0" w:afterAutospacing="0" w:line="360" w:lineRule="auto"/>
        <w:rPr>
          <w:color w:val="auto"/>
        </w:rPr>
      </w:pPr>
      <w:r>
        <w:rPr>
          <w:color w:val="auto"/>
        </w:rPr>
        <w:t> </w:t>
      </w:r>
    </w:p>
    <w:p w14:paraId="3ED11376">
      <w:pPr>
        <w:pStyle w:val="32"/>
        <w:spacing w:beforeAutospacing="0" w:afterAutospacing="0" w:line="360" w:lineRule="auto"/>
        <w:rPr>
          <w:color w:val="auto"/>
        </w:rPr>
      </w:pPr>
      <w:r>
        <w:rPr>
          <w:color w:val="auto"/>
        </w:rPr>
        <w:t> </w:t>
      </w:r>
    </w:p>
    <w:p w14:paraId="45096702">
      <w:pPr>
        <w:pStyle w:val="32"/>
        <w:spacing w:beforeAutospacing="0" w:afterAutospacing="0" w:line="360" w:lineRule="auto"/>
        <w:rPr>
          <w:color w:val="auto"/>
        </w:rPr>
      </w:pPr>
      <w:r>
        <w:rPr>
          <w:color w:val="auto"/>
        </w:rPr>
        <w:t> </w:t>
      </w:r>
    </w:p>
    <w:p w14:paraId="49742D67">
      <w:pPr>
        <w:pStyle w:val="32"/>
        <w:spacing w:beforeAutospacing="0" w:afterAutospacing="0" w:line="360" w:lineRule="auto"/>
        <w:rPr>
          <w:color w:val="auto"/>
        </w:rPr>
      </w:pPr>
      <w:r>
        <w:rPr>
          <w:color w:val="auto"/>
        </w:rPr>
        <w:t> </w:t>
      </w:r>
    </w:p>
    <w:p w14:paraId="12C388CB">
      <w:pPr>
        <w:pStyle w:val="32"/>
        <w:spacing w:beforeAutospacing="0" w:afterAutospacing="0" w:line="360" w:lineRule="auto"/>
        <w:rPr>
          <w:color w:val="auto"/>
        </w:rPr>
      </w:pPr>
      <w:r>
        <w:rPr>
          <w:color w:val="auto"/>
        </w:rPr>
        <w:t> </w:t>
      </w:r>
    </w:p>
    <w:p w14:paraId="57DCE8C9">
      <w:pPr>
        <w:pStyle w:val="32"/>
        <w:spacing w:beforeAutospacing="0" w:afterAutospacing="0" w:line="360" w:lineRule="auto"/>
        <w:rPr>
          <w:color w:val="auto"/>
        </w:rPr>
      </w:pPr>
      <w:r>
        <w:rPr>
          <w:color w:val="auto"/>
        </w:rPr>
        <w:t> </w:t>
      </w:r>
    </w:p>
    <w:p w14:paraId="6920E814">
      <w:pPr>
        <w:pStyle w:val="32"/>
        <w:spacing w:beforeAutospacing="0" w:afterAutospacing="0" w:line="360" w:lineRule="auto"/>
        <w:rPr>
          <w:color w:val="auto"/>
        </w:rPr>
      </w:pPr>
      <w:r>
        <w:rPr>
          <w:color w:val="auto"/>
        </w:rPr>
        <w:t> </w:t>
      </w:r>
    </w:p>
    <w:p w14:paraId="1B8B0561">
      <w:pPr>
        <w:pStyle w:val="32"/>
        <w:spacing w:before="120" w:beforeAutospacing="0" w:after="120" w:afterAutospacing="0" w:line="360" w:lineRule="auto"/>
        <w:jc w:val="center"/>
        <w:rPr>
          <w:rFonts w:ascii="Arial" w:hAnsi="Arial" w:cs="Arial"/>
          <w:b/>
          <w:color w:val="auto"/>
          <w:sz w:val="32"/>
          <w:szCs w:val="32"/>
        </w:rPr>
      </w:pPr>
    </w:p>
    <w:p w14:paraId="34F75ABB">
      <w:pPr>
        <w:pStyle w:val="32"/>
        <w:spacing w:before="120" w:beforeAutospacing="0" w:after="120" w:afterAutospacing="0" w:line="360" w:lineRule="auto"/>
        <w:jc w:val="center"/>
        <w:rPr>
          <w:rFonts w:ascii="Arial" w:hAnsi="Arial" w:cs="Arial"/>
          <w:b/>
          <w:color w:val="auto"/>
          <w:sz w:val="32"/>
          <w:szCs w:val="32"/>
        </w:rPr>
      </w:pPr>
    </w:p>
    <w:p w14:paraId="40D26AF0">
      <w:pPr>
        <w:pStyle w:val="32"/>
        <w:spacing w:before="120" w:beforeAutospacing="0" w:after="120" w:afterAutospacing="0" w:line="360" w:lineRule="auto"/>
        <w:jc w:val="center"/>
        <w:rPr>
          <w:rFonts w:ascii="Arial" w:hAnsi="Arial" w:cs="Arial"/>
          <w:b/>
          <w:color w:val="auto"/>
          <w:sz w:val="32"/>
          <w:szCs w:val="32"/>
        </w:rPr>
      </w:pPr>
    </w:p>
    <w:p w14:paraId="19ABECEF">
      <w:pPr>
        <w:pStyle w:val="32"/>
        <w:spacing w:before="120" w:beforeAutospacing="0" w:after="120" w:afterAutospacing="0" w:line="360" w:lineRule="auto"/>
        <w:jc w:val="center"/>
        <w:rPr>
          <w:rFonts w:ascii="Arial" w:hAnsi="Arial" w:cs="Arial"/>
          <w:b/>
          <w:color w:val="auto"/>
          <w:sz w:val="32"/>
          <w:szCs w:val="32"/>
        </w:rPr>
      </w:pPr>
    </w:p>
    <w:p w14:paraId="5F8D988D">
      <w:pPr>
        <w:pStyle w:val="32"/>
        <w:spacing w:before="120" w:beforeAutospacing="0" w:after="120" w:afterAutospacing="0" w:line="360" w:lineRule="auto"/>
        <w:jc w:val="center"/>
        <w:rPr>
          <w:rFonts w:ascii="Arial" w:hAnsi="Arial" w:cs="Arial"/>
          <w:b/>
          <w:color w:val="auto"/>
          <w:sz w:val="32"/>
          <w:szCs w:val="32"/>
        </w:rPr>
      </w:pPr>
      <w:r>
        <w:rPr>
          <w:rFonts w:hint="eastAsia" w:ascii="Arial" w:hAnsi="Arial" w:cs="Arial"/>
          <w:b/>
          <w:color w:val="auto"/>
          <w:sz w:val="32"/>
          <w:szCs w:val="32"/>
        </w:rPr>
        <w:t>盐城市公安局</w:t>
      </w:r>
    </w:p>
    <w:p w14:paraId="6D2A2D33">
      <w:pPr>
        <w:pStyle w:val="195"/>
        <w:ind w:firstLine="0"/>
        <w:jc w:val="center"/>
        <w:rPr>
          <w:rFonts w:ascii="宋体" w:hAnsi="宋体" w:cs="宋体"/>
          <w:b/>
          <w:bCs/>
          <w:color w:val="auto"/>
          <w:sz w:val="32"/>
        </w:rPr>
      </w:pPr>
      <w:r>
        <w:rPr>
          <w:rFonts w:hint="eastAsia" w:ascii="宋体" w:hAnsi="宋体" w:eastAsia="宋体" w:cs="宋体"/>
          <w:b/>
          <w:color w:val="auto"/>
          <w:sz w:val="32"/>
          <w:szCs w:val="32"/>
        </w:rPr>
        <w:t>盐城市智禾项目管理有限公司</w:t>
      </w:r>
    </w:p>
    <w:p w14:paraId="0E086A54">
      <w:pPr>
        <w:pStyle w:val="32"/>
        <w:spacing w:before="120" w:beforeAutospacing="0" w:after="120" w:afterAutospacing="0" w:line="360" w:lineRule="auto"/>
        <w:jc w:val="center"/>
        <w:rPr>
          <w:color w:val="auto"/>
        </w:rPr>
      </w:pPr>
      <w:r>
        <w:rPr>
          <w:rFonts w:hint="eastAsia" w:ascii="Arial" w:hAnsi="Arial" w:cs="Arial"/>
          <w:b/>
          <w:color w:val="auto"/>
          <w:sz w:val="32"/>
          <w:szCs w:val="32"/>
        </w:rPr>
        <w:t>2025</w:t>
      </w:r>
      <w:r>
        <w:rPr>
          <w:rFonts w:ascii="Arial" w:hAnsi="Arial" w:cs="Arial"/>
          <w:b/>
          <w:color w:val="auto"/>
          <w:sz w:val="32"/>
          <w:szCs w:val="32"/>
        </w:rPr>
        <w:t>年</w:t>
      </w:r>
      <w:r>
        <w:rPr>
          <w:rFonts w:hint="eastAsia" w:ascii="Arial" w:hAnsi="Arial" w:cs="Arial"/>
          <w:b/>
          <w:color w:val="auto"/>
          <w:sz w:val="32"/>
          <w:szCs w:val="32"/>
        </w:rPr>
        <w:t>12</w:t>
      </w:r>
      <w:r>
        <w:rPr>
          <w:rFonts w:ascii="Arial" w:hAnsi="Arial" w:cs="Arial"/>
          <w:b/>
          <w:color w:val="auto"/>
          <w:sz w:val="32"/>
          <w:szCs w:val="32"/>
        </w:rPr>
        <w:t>月</w:t>
      </w:r>
    </w:p>
    <w:p w14:paraId="19ECAE63">
      <w:pPr>
        <w:pStyle w:val="32"/>
        <w:spacing w:before="120" w:beforeAutospacing="0" w:after="120" w:afterAutospacing="0" w:line="360" w:lineRule="auto"/>
        <w:rPr>
          <w:color w:val="auto"/>
        </w:rPr>
      </w:pPr>
      <w:r>
        <w:rPr>
          <w:rFonts w:ascii="Arial" w:hAnsi="Arial" w:cs="Arial"/>
          <w:color w:val="auto"/>
        </w:rPr>
        <w:t xml:space="preserve">                        </w:t>
      </w:r>
    </w:p>
    <w:p w14:paraId="4CECA27F">
      <w:pPr>
        <w:pStyle w:val="32"/>
        <w:spacing w:before="120" w:beforeAutospacing="0" w:after="120" w:afterAutospacing="0" w:line="360" w:lineRule="auto"/>
        <w:jc w:val="center"/>
        <w:rPr>
          <w:color w:val="auto"/>
        </w:rPr>
      </w:pPr>
    </w:p>
    <w:p w14:paraId="234F6B70">
      <w:pPr>
        <w:pStyle w:val="32"/>
        <w:spacing w:beforeAutospacing="0" w:afterAutospacing="0" w:line="480" w:lineRule="auto"/>
        <w:jc w:val="center"/>
        <w:rPr>
          <w:color w:val="auto"/>
        </w:rPr>
      </w:pPr>
      <w:r>
        <w:rPr>
          <w:rFonts w:ascii="Times New Roman" w:hAnsi="Times New Roman"/>
          <w:color w:val="auto"/>
          <w:sz w:val="21"/>
          <w:szCs w:val="21"/>
        </w:rPr>
        <w:br w:type="page" w:clear="all"/>
      </w:r>
      <w:r>
        <w:rPr>
          <w:rFonts w:ascii="Times New Roman" w:hAnsi="Times New Roman"/>
          <w:color w:val="auto"/>
          <w:sz w:val="21"/>
          <w:szCs w:val="21"/>
        </w:rPr>
        <w:t> </w:t>
      </w:r>
      <w:bookmarkStart w:id="0" w:name="_Toc120614210"/>
      <w:bookmarkStart w:id="1" w:name="_Toc20823272"/>
      <w:bookmarkStart w:id="2" w:name="_Toc523127445"/>
      <w:bookmarkStart w:id="3" w:name="_Toc16938516"/>
      <w:bookmarkStart w:id="4" w:name="_Toc513029200"/>
      <w:bookmarkStart w:id="5" w:name="_Toc479757206"/>
      <w:r>
        <w:rPr>
          <w:rFonts w:ascii="Times New Roman" w:hAnsi="Times New Roman"/>
          <w:color w:val="auto"/>
          <w:sz w:val="21"/>
          <w:szCs w:val="21"/>
        </w:rPr>
        <w:t> </w:t>
      </w:r>
      <w:r>
        <w:rPr>
          <w:rFonts w:ascii="黑体" w:hAnsi="宋体" w:eastAsia="黑体" w:cs="黑体"/>
          <w:b/>
          <w:color w:val="auto"/>
          <w:sz w:val="44"/>
          <w:szCs w:val="44"/>
        </w:rPr>
        <w:t>总  目  录</w:t>
      </w:r>
      <w:bookmarkEnd w:id="0"/>
      <w:bookmarkEnd w:id="1"/>
      <w:bookmarkEnd w:id="2"/>
      <w:bookmarkEnd w:id="3"/>
      <w:bookmarkEnd w:id="4"/>
      <w:bookmarkEnd w:id="5"/>
    </w:p>
    <w:p w14:paraId="7DC82DDD">
      <w:pPr>
        <w:pStyle w:val="32"/>
        <w:spacing w:beforeAutospacing="0" w:afterAutospacing="0" w:line="480" w:lineRule="auto"/>
        <w:ind w:left="-199" w:firstLine="199"/>
        <w:jc w:val="both"/>
        <w:rPr>
          <w:color w:val="auto"/>
        </w:rPr>
      </w:pPr>
      <w:r>
        <w:rPr>
          <w:color w:val="auto"/>
        </w:rPr>
        <w:t> </w:t>
      </w:r>
    </w:p>
    <w:p w14:paraId="4B79A879">
      <w:pPr>
        <w:pStyle w:val="32"/>
        <w:tabs>
          <w:tab w:val="left" w:pos="1441"/>
        </w:tabs>
        <w:spacing w:beforeAutospacing="0" w:afterAutospacing="0" w:line="480" w:lineRule="auto"/>
        <w:ind w:left="2160" w:hanging="1440"/>
        <w:jc w:val="both"/>
        <w:rPr>
          <w:color w:val="auto"/>
        </w:rPr>
      </w:pPr>
      <w:r>
        <w:rPr>
          <w:rFonts w:hint="eastAsia" w:ascii="黑体" w:hAnsi="宋体" w:eastAsia="黑体" w:cs="黑体"/>
          <w:color w:val="auto"/>
          <w:sz w:val="36"/>
          <w:szCs w:val="36"/>
        </w:rPr>
        <w:t>招标公告……………………………………3</w:t>
      </w:r>
    </w:p>
    <w:p w14:paraId="18C54822">
      <w:pPr>
        <w:pStyle w:val="32"/>
        <w:tabs>
          <w:tab w:val="left" w:pos="1441"/>
        </w:tabs>
        <w:spacing w:beforeAutospacing="0" w:afterAutospacing="0" w:line="480" w:lineRule="auto"/>
        <w:ind w:left="2160" w:hanging="1440"/>
        <w:jc w:val="both"/>
        <w:rPr>
          <w:color w:val="auto"/>
        </w:rPr>
      </w:pPr>
      <w:r>
        <w:rPr>
          <w:rFonts w:hint="eastAsia" w:ascii="黑体" w:hAnsi="宋体" w:eastAsia="黑体" w:cs="黑体"/>
          <w:color w:val="auto"/>
          <w:sz w:val="36"/>
          <w:szCs w:val="36"/>
        </w:rPr>
        <w:t xml:space="preserve">投标人须知…………………………………8  </w:t>
      </w:r>
    </w:p>
    <w:p w14:paraId="753BDCFC">
      <w:pPr>
        <w:pStyle w:val="32"/>
        <w:tabs>
          <w:tab w:val="left" w:pos="1441"/>
        </w:tabs>
        <w:spacing w:beforeAutospacing="0" w:afterAutospacing="0" w:line="480" w:lineRule="auto"/>
        <w:ind w:left="2160" w:hanging="1440"/>
        <w:jc w:val="both"/>
        <w:rPr>
          <w:rFonts w:eastAsia="黑体"/>
          <w:color w:val="auto"/>
        </w:rPr>
      </w:pPr>
      <w:r>
        <w:rPr>
          <w:rFonts w:hint="eastAsia" w:ascii="黑体" w:hAnsi="宋体" w:eastAsia="黑体" w:cs="黑体"/>
          <w:color w:val="auto"/>
          <w:sz w:val="36"/>
          <w:szCs w:val="36"/>
        </w:rPr>
        <w:t>合同文本……………………………………21</w:t>
      </w:r>
    </w:p>
    <w:p w14:paraId="62448D5E">
      <w:pPr>
        <w:pStyle w:val="32"/>
        <w:tabs>
          <w:tab w:val="left" w:pos="1441"/>
        </w:tabs>
        <w:spacing w:beforeAutospacing="0" w:afterAutospacing="0" w:line="480" w:lineRule="auto"/>
        <w:ind w:left="2160" w:hanging="1440"/>
        <w:jc w:val="both"/>
        <w:rPr>
          <w:rFonts w:eastAsia="黑体"/>
          <w:color w:val="auto"/>
        </w:rPr>
      </w:pPr>
      <w:r>
        <w:rPr>
          <w:rFonts w:hint="eastAsia" w:ascii="黑体" w:hAnsi="宋体" w:eastAsia="黑体" w:cs="黑体"/>
          <w:color w:val="auto"/>
          <w:sz w:val="36"/>
          <w:szCs w:val="36"/>
        </w:rPr>
        <w:t>采购需求……………………………………28</w:t>
      </w:r>
    </w:p>
    <w:p w14:paraId="546DE71A">
      <w:pPr>
        <w:pStyle w:val="32"/>
        <w:tabs>
          <w:tab w:val="left" w:pos="1441"/>
        </w:tabs>
        <w:spacing w:beforeAutospacing="0" w:afterAutospacing="0" w:line="480" w:lineRule="auto"/>
        <w:ind w:left="2160" w:hanging="1440"/>
        <w:jc w:val="both"/>
        <w:rPr>
          <w:rFonts w:eastAsia="黑体"/>
          <w:color w:val="auto"/>
        </w:rPr>
      </w:pPr>
      <w:r>
        <w:rPr>
          <w:rFonts w:hint="eastAsia" w:ascii="黑体" w:hAnsi="宋体" w:eastAsia="黑体" w:cs="黑体"/>
          <w:color w:val="auto"/>
          <w:sz w:val="36"/>
          <w:szCs w:val="36"/>
        </w:rPr>
        <w:t>评标方法与评标标准………………………58</w:t>
      </w:r>
    </w:p>
    <w:p w14:paraId="5A0F8089">
      <w:pPr>
        <w:pStyle w:val="32"/>
        <w:tabs>
          <w:tab w:val="left" w:pos="1441"/>
        </w:tabs>
        <w:spacing w:beforeAutospacing="0" w:afterAutospacing="0" w:line="480" w:lineRule="auto"/>
        <w:ind w:left="2160" w:hanging="1440"/>
        <w:jc w:val="both"/>
        <w:rPr>
          <w:rFonts w:eastAsia="黑体"/>
          <w:color w:val="auto"/>
        </w:rPr>
      </w:pPr>
      <w:r>
        <w:rPr>
          <w:rFonts w:hint="eastAsia" w:ascii="黑体" w:hAnsi="宋体" w:eastAsia="黑体" w:cs="黑体"/>
          <w:color w:val="auto"/>
          <w:sz w:val="36"/>
          <w:szCs w:val="36"/>
        </w:rPr>
        <w:t>投标文件格式………………………………60</w:t>
      </w:r>
    </w:p>
    <w:p w14:paraId="308BC539">
      <w:pPr>
        <w:pStyle w:val="32"/>
        <w:spacing w:beforeAutospacing="0" w:afterAutospacing="0"/>
        <w:jc w:val="both"/>
        <w:rPr>
          <w:color w:val="auto"/>
        </w:rPr>
      </w:pPr>
      <w:r>
        <w:rPr>
          <w:color w:val="auto"/>
        </w:rPr>
        <w:t> </w:t>
      </w:r>
    </w:p>
    <w:p w14:paraId="16866BD3">
      <w:pPr>
        <w:pStyle w:val="32"/>
        <w:spacing w:beforeAutospacing="0" w:afterAutospacing="0"/>
        <w:jc w:val="both"/>
        <w:rPr>
          <w:color w:val="auto"/>
        </w:rPr>
      </w:pPr>
      <w:r>
        <w:rPr>
          <w:color w:val="auto"/>
        </w:rPr>
        <w:t> </w:t>
      </w:r>
    </w:p>
    <w:p w14:paraId="1F75A59D">
      <w:pPr>
        <w:pStyle w:val="32"/>
        <w:spacing w:beforeAutospacing="0" w:afterAutospacing="0"/>
        <w:jc w:val="both"/>
        <w:rPr>
          <w:color w:val="auto"/>
        </w:rPr>
      </w:pPr>
      <w:r>
        <w:rPr>
          <w:color w:val="auto"/>
        </w:rPr>
        <w:t> </w:t>
      </w:r>
    </w:p>
    <w:p w14:paraId="7D42E7A4">
      <w:pPr>
        <w:pStyle w:val="32"/>
        <w:spacing w:beforeAutospacing="0" w:afterAutospacing="0"/>
        <w:jc w:val="both"/>
        <w:rPr>
          <w:color w:val="auto"/>
        </w:rPr>
      </w:pPr>
      <w:r>
        <w:rPr>
          <w:color w:val="auto"/>
        </w:rPr>
        <w:t> </w:t>
      </w:r>
    </w:p>
    <w:p w14:paraId="745633D0">
      <w:pPr>
        <w:pStyle w:val="32"/>
        <w:spacing w:beforeAutospacing="0" w:afterAutospacing="0"/>
        <w:jc w:val="both"/>
        <w:rPr>
          <w:color w:val="auto"/>
        </w:rPr>
      </w:pPr>
      <w:r>
        <w:rPr>
          <w:color w:val="auto"/>
        </w:rPr>
        <w:t> </w:t>
      </w:r>
    </w:p>
    <w:p w14:paraId="76148A93">
      <w:pPr>
        <w:pStyle w:val="32"/>
        <w:spacing w:beforeAutospacing="0" w:afterAutospacing="0"/>
        <w:jc w:val="both"/>
        <w:rPr>
          <w:color w:val="auto"/>
        </w:rPr>
      </w:pPr>
      <w:r>
        <w:rPr>
          <w:color w:val="auto"/>
        </w:rPr>
        <w:t> </w:t>
      </w:r>
    </w:p>
    <w:p w14:paraId="2BC496AF">
      <w:pPr>
        <w:pStyle w:val="32"/>
        <w:spacing w:beforeAutospacing="0" w:afterAutospacing="0"/>
        <w:jc w:val="both"/>
        <w:rPr>
          <w:color w:val="auto"/>
        </w:rPr>
      </w:pPr>
      <w:r>
        <w:rPr>
          <w:color w:val="auto"/>
        </w:rPr>
        <w:t> </w:t>
      </w:r>
    </w:p>
    <w:p w14:paraId="6E4430AB">
      <w:pPr>
        <w:pStyle w:val="32"/>
        <w:spacing w:beforeAutospacing="0" w:afterAutospacing="0"/>
        <w:jc w:val="both"/>
        <w:rPr>
          <w:color w:val="auto"/>
        </w:rPr>
      </w:pPr>
      <w:r>
        <w:rPr>
          <w:color w:val="auto"/>
        </w:rPr>
        <w:t> </w:t>
      </w:r>
    </w:p>
    <w:p w14:paraId="6E111CD4">
      <w:pPr>
        <w:pStyle w:val="32"/>
        <w:spacing w:beforeAutospacing="0" w:afterAutospacing="0"/>
        <w:jc w:val="both"/>
        <w:rPr>
          <w:color w:val="auto"/>
        </w:rPr>
      </w:pPr>
      <w:r>
        <w:rPr>
          <w:color w:val="auto"/>
        </w:rPr>
        <w:t> </w:t>
      </w:r>
    </w:p>
    <w:p w14:paraId="05F297BD">
      <w:pPr>
        <w:pStyle w:val="32"/>
        <w:spacing w:beforeAutospacing="0" w:afterAutospacing="0"/>
        <w:jc w:val="both"/>
        <w:rPr>
          <w:color w:val="auto"/>
        </w:rPr>
      </w:pPr>
      <w:r>
        <w:rPr>
          <w:color w:val="auto"/>
        </w:rPr>
        <w:t> </w:t>
      </w:r>
    </w:p>
    <w:p w14:paraId="031C0DD4">
      <w:pPr>
        <w:pStyle w:val="32"/>
        <w:spacing w:beforeAutospacing="0" w:afterAutospacing="0"/>
        <w:jc w:val="both"/>
        <w:rPr>
          <w:color w:val="auto"/>
        </w:rPr>
      </w:pPr>
      <w:r>
        <w:rPr>
          <w:color w:val="auto"/>
        </w:rPr>
        <w:t> </w:t>
      </w:r>
    </w:p>
    <w:p w14:paraId="69908472">
      <w:pPr>
        <w:pStyle w:val="32"/>
        <w:spacing w:beforeAutospacing="0" w:afterAutospacing="0"/>
        <w:jc w:val="both"/>
        <w:rPr>
          <w:color w:val="auto"/>
        </w:rPr>
      </w:pPr>
      <w:r>
        <w:rPr>
          <w:color w:val="auto"/>
        </w:rPr>
        <w:t> </w:t>
      </w:r>
    </w:p>
    <w:p w14:paraId="161C734D">
      <w:pPr>
        <w:pStyle w:val="32"/>
        <w:spacing w:beforeAutospacing="0" w:afterAutospacing="0"/>
        <w:jc w:val="both"/>
        <w:rPr>
          <w:color w:val="auto"/>
        </w:rPr>
      </w:pPr>
      <w:r>
        <w:rPr>
          <w:color w:val="auto"/>
        </w:rPr>
        <w:t> </w:t>
      </w:r>
    </w:p>
    <w:p w14:paraId="5CDD3B3F">
      <w:pPr>
        <w:pStyle w:val="32"/>
        <w:spacing w:beforeAutospacing="0" w:afterAutospacing="0"/>
        <w:jc w:val="both"/>
        <w:rPr>
          <w:color w:val="auto"/>
        </w:rPr>
      </w:pPr>
      <w:r>
        <w:rPr>
          <w:color w:val="auto"/>
        </w:rPr>
        <w:t> </w:t>
      </w:r>
    </w:p>
    <w:p w14:paraId="61F954FD">
      <w:pPr>
        <w:pStyle w:val="32"/>
        <w:spacing w:beforeAutospacing="0" w:afterAutospacing="0"/>
        <w:jc w:val="both"/>
        <w:rPr>
          <w:color w:val="auto"/>
        </w:rPr>
      </w:pPr>
      <w:r>
        <w:rPr>
          <w:color w:val="auto"/>
        </w:rPr>
        <w:t> </w:t>
      </w:r>
    </w:p>
    <w:p w14:paraId="6379E627">
      <w:pPr>
        <w:pStyle w:val="32"/>
        <w:spacing w:beforeAutospacing="0" w:afterAutospacing="0"/>
        <w:jc w:val="both"/>
        <w:rPr>
          <w:color w:val="auto"/>
        </w:rPr>
      </w:pPr>
      <w:r>
        <w:rPr>
          <w:color w:val="auto"/>
        </w:rPr>
        <w:t> </w:t>
      </w:r>
    </w:p>
    <w:p w14:paraId="0EE3E7CD">
      <w:pPr>
        <w:pStyle w:val="32"/>
        <w:spacing w:beforeAutospacing="0" w:afterAutospacing="0"/>
        <w:jc w:val="both"/>
        <w:rPr>
          <w:color w:val="auto"/>
        </w:rPr>
      </w:pPr>
      <w:r>
        <w:rPr>
          <w:color w:val="auto"/>
        </w:rPr>
        <w:t> </w:t>
      </w:r>
    </w:p>
    <w:p w14:paraId="3900987C">
      <w:pPr>
        <w:pStyle w:val="32"/>
        <w:spacing w:beforeAutospacing="0" w:afterAutospacing="0"/>
        <w:jc w:val="both"/>
        <w:rPr>
          <w:color w:val="auto"/>
        </w:rPr>
      </w:pPr>
      <w:r>
        <w:rPr>
          <w:color w:val="auto"/>
        </w:rPr>
        <w:t> </w:t>
      </w:r>
    </w:p>
    <w:p w14:paraId="5B34E0F6">
      <w:pPr>
        <w:pStyle w:val="32"/>
        <w:spacing w:beforeAutospacing="0" w:afterAutospacing="0"/>
        <w:jc w:val="both"/>
        <w:rPr>
          <w:color w:val="auto"/>
        </w:rPr>
      </w:pPr>
      <w:r>
        <w:rPr>
          <w:color w:val="auto"/>
        </w:rPr>
        <w:t> </w:t>
      </w:r>
    </w:p>
    <w:p w14:paraId="602A7EAB">
      <w:pPr>
        <w:pStyle w:val="32"/>
        <w:spacing w:beforeAutospacing="0" w:afterAutospacing="0"/>
        <w:jc w:val="both"/>
        <w:rPr>
          <w:color w:val="auto"/>
        </w:rPr>
      </w:pPr>
      <w:r>
        <w:rPr>
          <w:color w:val="auto"/>
        </w:rPr>
        <w:t> </w:t>
      </w:r>
    </w:p>
    <w:p w14:paraId="1ED53C3C">
      <w:pPr>
        <w:pStyle w:val="32"/>
        <w:spacing w:beforeAutospacing="0" w:afterAutospacing="0"/>
        <w:jc w:val="both"/>
        <w:rPr>
          <w:color w:val="auto"/>
        </w:rPr>
      </w:pPr>
      <w:r>
        <w:rPr>
          <w:color w:val="auto"/>
        </w:rPr>
        <w:t> </w:t>
      </w:r>
    </w:p>
    <w:p w14:paraId="595BC3C4">
      <w:pPr>
        <w:pStyle w:val="32"/>
        <w:spacing w:beforeAutospacing="0" w:afterAutospacing="0"/>
        <w:jc w:val="both"/>
        <w:rPr>
          <w:color w:val="auto"/>
        </w:rPr>
      </w:pPr>
      <w:r>
        <w:rPr>
          <w:color w:val="auto"/>
        </w:rPr>
        <w:t> </w:t>
      </w:r>
    </w:p>
    <w:p w14:paraId="27E8E920">
      <w:pPr>
        <w:pStyle w:val="32"/>
        <w:spacing w:beforeAutospacing="0" w:afterAutospacing="0"/>
        <w:jc w:val="both"/>
        <w:rPr>
          <w:color w:val="auto"/>
        </w:rPr>
      </w:pPr>
      <w:r>
        <w:rPr>
          <w:color w:val="auto"/>
        </w:rPr>
        <w:t> </w:t>
      </w:r>
    </w:p>
    <w:p w14:paraId="418976A9">
      <w:pPr>
        <w:pStyle w:val="32"/>
        <w:spacing w:beforeAutospacing="0" w:afterAutospacing="0"/>
        <w:jc w:val="both"/>
        <w:rPr>
          <w:color w:val="auto"/>
        </w:rPr>
      </w:pPr>
      <w:r>
        <w:rPr>
          <w:color w:val="auto"/>
        </w:rPr>
        <w:t> </w:t>
      </w:r>
    </w:p>
    <w:p w14:paraId="025AEAE8">
      <w:pPr>
        <w:pStyle w:val="32"/>
        <w:spacing w:beforeAutospacing="0" w:afterAutospacing="0"/>
        <w:jc w:val="center"/>
        <w:outlineLvl w:val="0"/>
        <w:rPr>
          <w:rFonts w:eastAsia="黑体"/>
          <w:color w:val="auto"/>
        </w:rPr>
      </w:pPr>
      <w:r>
        <w:rPr>
          <w:rFonts w:hint="eastAsia" w:ascii="黑体" w:hAnsi="宋体" w:eastAsia="黑体" w:cs="黑体"/>
          <w:color w:val="auto"/>
          <w:sz w:val="44"/>
          <w:szCs w:val="44"/>
        </w:rPr>
        <w:t>第一章 招标公告</w:t>
      </w:r>
    </w:p>
    <w:p w14:paraId="032D2205">
      <w:pPr>
        <w:pStyle w:val="32"/>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项目概况</w:t>
      </w:r>
    </w:p>
    <w:p w14:paraId="1915B312">
      <w:pPr>
        <w:pStyle w:val="32"/>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u w:val="single"/>
        </w:rPr>
        <w:t>盐城市公安局</w:t>
      </w:r>
      <w:r>
        <w:rPr>
          <w:rFonts w:hint="eastAsia" w:ascii="宋体" w:hAnsi="宋体" w:eastAsia="宋体" w:cs="宋体"/>
          <w:color w:val="auto"/>
          <w:sz w:val="21"/>
          <w:szCs w:val="21"/>
          <w:u w:val="single"/>
          <w:lang w:eastAsia="zh-CN"/>
        </w:rPr>
        <w:t>侦查研判类</w:t>
      </w:r>
      <w:r>
        <w:rPr>
          <w:rFonts w:hint="eastAsia" w:ascii="宋体" w:hAnsi="宋体" w:eastAsia="宋体" w:cs="宋体"/>
          <w:color w:val="auto"/>
          <w:sz w:val="21"/>
          <w:szCs w:val="21"/>
          <w:u w:val="single"/>
        </w:rPr>
        <w:t>互联网数据支撑服务项目（2026年服务）</w:t>
      </w:r>
      <w:r>
        <w:rPr>
          <w:rFonts w:hint="eastAsia" w:ascii="宋体" w:hAnsi="宋体" w:eastAsia="宋体" w:cs="宋体"/>
          <w:color w:val="auto"/>
          <w:sz w:val="21"/>
          <w:szCs w:val="21"/>
        </w:rPr>
        <w:t>招标项目的潜在投标人可在</w:t>
      </w:r>
      <w:r>
        <w:rPr>
          <w:rFonts w:hint="eastAsia" w:ascii="宋体" w:hAnsi="宋体" w:eastAsia="宋体" w:cs="宋体"/>
          <w:color w:val="auto"/>
          <w:sz w:val="21"/>
          <w:szCs w:val="21"/>
          <w:shd w:val="clear" w:color="auto" w:fill="FFFFFF"/>
        </w:rPr>
        <w:t>“苏采云”系统内免费下载（投标人必须在苏采云系统中获取采购文件，方能参与政府采购项目）</w:t>
      </w:r>
      <w:r>
        <w:rPr>
          <w:rFonts w:hint="eastAsia" w:ascii="宋体" w:hAnsi="宋体" w:eastAsia="宋体" w:cs="宋体"/>
          <w:color w:val="auto"/>
          <w:sz w:val="21"/>
          <w:szCs w:val="21"/>
        </w:rPr>
        <w:t>，并于</w:t>
      </w:r>
      <w:r>
        <w:rPr>
          <w:rFonts w:hint="eastAsia" w:ascii="宋体" w:hAnsi="宋体" w:eastAsia="宋体" w:cs="宋体"/>
          <w:color w:val="auto"/>
          <w:sz w:val="21"/>
          <w:szCs w:val="21"/>
          <w:u w:val="single"/>
          <w:lang w:val="en-US" w:eastAsia="zh-CN"/>
        </w:rPr>
        <w:t>2026</w:t>
      </w:r>
      <w:r>
        <w:rPr>
          <w:rFonts w:hint="eastAsia" w:ascii="宋体" w:hAnsi="宋体" w:eastAsia="宋体" w:cs="宋体"/>
          <w:color w:val="auto"/>
          <w:sz w:val="21"/>
          <w:szCs w:val="21"/>
          <w:u w:val="single"/>
        </w:rPr>
        <w:t>年</w:t>
      </w:r>
      <w:r>
        <w:rPr>
          <w:rFonts w:hint="eastAsia" w:ascii="宋体" w:hAnsi="宋体" w:eastAsia="宋体" w:cs="宋体"/>
          <w:color w:val="auto"/>
          <w:sz w:val="21"/>
          <w:szCs w:val="21"/>
          <w:u w:val="single"/>
          <w:lang w:val="en-US" w:eastAsia="zh-CN"/>
        </w:rPr>
        <w:t>1</w:t>
      </w:r>
      <w:r>
        <w:rPr>
          <w:rFonts w:hint="eastAsia" w:ascii="宋体" w:hAnsi="宋体" w:eastAsia="宋体" w:cs="宋体"/>
          <w:color w:val="auto"/>
          <w:sz w:val="21"/>
          <w:szCs w:val="21"/>
          <w:u w:val="single"/>
        </w:rPr>
        <w:t>月</w:t>
      </w:r>
      <w:r>
        <w:rPr>
          <w:rFonts w:hint="eastAsia" w:ascii="宋体" w:hAnsi="宋体" w:eastAsia="宋体" w:cs="宋体"/>
          <w:color w:val="auto"/>
          <w:sz w:val="21"/>
          <w:szCs w:val="21"/>
          <w:u w:val="single"/>
          <w:lang w:val="en-US" w:eastAsia="zh-CN"/>
        </w:rPr>
        <w:t>22</w:t>
      </w:r>
      <w:r>
        <w:rPr>
          <w:rFonts w:hint="eastAsia" w:ascii="宋体" w:hAnsi="宋体" w:eastAsia="宋体" w:cs="宋体"/>
          <w:color w:val="auto"/>
          <w:sz w:val="21"/>
          <w:szCs w:val="21"/>
          <w:u w:val="single"/>
        </w:rPr>
        <w:t>日09点00分（</w:t>
      </w:r>
      <w:r>
        <w:rPr>
          <w:rFonts w:hint="eastAsia" w:ascii="宋体" w:hAnsi="宋体" w:eastAsia="宋体" w:cs="宋体"/>
          <w:color w:val="auto"/>
          <w:sz w:val="21"/>
          <w:szCs w:val="21"/>
        </w:rPr>
        <w:t>北京时间）前递交投标文件。</w:t>
      </w:r>
    </w:p>
    <w:p w14:paraId="3F6D077E">
      <w:pPr>
        <w:pStyle w:val="32"/>
        <w:spacing w:beforeAutospacing="0" w:afterAutospacing="0" w:line="360" w:lineRule="auto"/>
        <w:ind w:firstLine="480"/>
        <w:jc w:val="both"/>
        <w:rPr>
          <w:rFonts w:ascii="宋体" w:hAnsi="宋体" w:eastAsia="宋体" w:cs="宋体"/>
          <w:color w:val="auto"/>
          <w:sz w:val="21"/>
          <w:szCs w:val="21"/>
        </w:rPr>
      </w:pPr>
      <w:bookmarkStart w:id="6" w:name="_Toc28359079"/>
      <w:bookmarkStart w:id="7" w:name="_Toc28359002"/>
      <w:bookmarkStart w:id="8" w:name="_Toc38985263"/>
      <w:bookmarkStart w:id="9" w:name="_Hlk24379207"/>
      <w:bookmarkStart w:id="10" w:name="_Toc35393790"/>
      <w:bookmarkStart w:id="11" w:name="_Toc35393621"/>
      <w:r>
        <w:rPr>
          <w:rFonts w:hint="eastAsia" w:ascii="宋体" w:hAnsi="宋体" w:eastAsia="宋体" w:cs="宋体"/>
          <w:b/>
          <w:color w:val="auto"/>
          <w:sz w:val="21"/>
          <w:szCs w:val="21"/>
        </w:rPr>
        <w:t>一、项目基本情况</w:t>
      </w:r>
      <w:bookmarkEnd w:id="6"/>
      <w:bookmarkEnd w:id="7"/>
      <w:bookmarkEnd w:id="8"/>
      <w:bookmarkEnd w:id="9"/>
      <w:bookmarkEnd w:id="10"/>
      <w:bookmarkEnd w:id="11"/>
    </w:p>
    <w:p w14:paraId="50669E84">
      <w:pPr>
        <w:pStyle w:val="32"/>
        <w:spacing w:beforeAutospacing="0" w:afterAutospacing="0" w:line="360" w:lineRule="auto"/>
        <w:ind w:firstLine="480"/>
        <w:jc w:val="both"/>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1.项目编号：JSZC-320900-YCZH-G2025-00</w:t>
      </w:r>
      <w:r>
        <w:rPr>
          <w:rFonts w:hint="eastAsia" w:ascii="宋体" w:hAnsi="宋体" w:eastAsia="宋体" w:cs="宋体"/>
          <w:color w:val="auto"/>
          <w:sz w:val="21"/>
          <w:szCs w:val="21"/>
          <w:lang w:val="en-US" w:eastAsia="zh-CN"/>
        </w:rPr>
        <w:t>14</w:t>
      </w:r>
    </w:p>
    <w:p w14:paraId="6639352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2.项目名称：盐城市公安局</w:t>
      </w:r>
      <w:r>
        <w:rPr>
          <w:rFonts w:hint="eastAsia" w:ascii="宋体" w:hAnsi="宋体" w:eastAsia="宋体" w:cs="宋体"/>
          <w:color w:val="auto"/>
          <w:sz w:val="21"/>
          <w:szCs w:val="21"/>
          <w:lang w:eastAsia="zh-CN"/>
        </w:rPr>
        <w:t>侦查研判类</w:t>
      </w:r>
      <w:r>
        <w:rPr>
          <w:rFonts w:hint="eastAsia" w:ascii="宋体" w:hAnsi="宋体" w:eastAsia="宋体" w:cs="宋体"/>
          <w:color w:val="auto"/>
          <w:sz w:val="21"/>
          <w:szCs w:val="21"/>
        </w:rPr>
        <w:t>互联网数据支撑服务项目（2026年服务）</w:t>
      </w:r>
    </w:p>
    <w:p w14:paraId="2161A7E0">
      <w:pPr>
        <w:pStyle w:val="32"/>
        <w:spacing w:beforeAutospacing="0" w:afterAutospacing="0" w:line="360" w:lineRule="auto"/>
        <w:ind w:firstLine="480"/>
        <w:jc w:val="both"/>
        <w:rPr>
          <w:rFonts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3.采购方式：公开招标</w:t>
      </w:r>
    </w:p>
    <w:p w14:paraId="6D171881">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4.预算金额：720万元</w:t>
      </w:r>
    </w:p>
    <w:p w14:paraId="08542ACC">
      <w:pPr>
        <w:spacing w:line="360" w:lineRule="auto"/>
        <w:ind w:firstLine="422"/>
        <w:rPr>
          <w:rFonts w:ascii="宋体" w:hAnsi="宋体" w:eastAsia="宋体" w:cs="宋体"/>
          <w:color w:val="auto"/>
          <w:szCs w:val="21"/>
        </w:rPr>
      </w:pPr>
      <w:r>
        <w:rPr>
          <w:rFonts w:hint="eastAsia" w:ascii="宋体" w:hAnsi="宋体" w:eastAsia="宋体" w:cs="宋体"/>
          <w:b/>
          <w:bCs/>
          <w:color w:val="auto"/>
          <w:szCs w:val="21"/>
        </w:rPr>
        <w:t>采购1包</w:t>
      </w:r>
      <w:r>
        <w:rPr>
          <w:rFonts w:hint="eastAsia" w:ascii="宋体" w:hAnsi="宋体" w:eastAsia="宋体" w:cs="宋体"/>
          <w:color w:val="auto"/>
          <w:szCs w:val="21"/>
        </w:rPr>
        <w:t>：打击新型犯罪研究支撑服务</w:t>
      </w:r>
    </w:p>
    <w:p w14:paraId="17EE192C">
      <w:pPr>
        <w:spacing w:line="360" w:lineRule="auto"/>
        <w:ind w:firstLine="420"/>
        <w:rPr>
          <w:rFonts w:ascii="宋体" w:hAnsi="宋体" w:eastAsia="宋体" w:cs="宋体"/>
          <w:color w:val="auto"/>
          <w:szCs w:val="21"/>
        </w:rPr>
      </w:pPr>
      <w:r>
        <w:rPr>
          <w:rFonts w:hint="eastAsia" w:ascii="宋体" w:hAnsi="宋体" w:eastAsia="宋体" w:cs="宋体"/>
          <w:color w:val="auto"/>
          <w:szCs w:val="21"/>
        </w:rPr>
        <w:t>预算金额（最高限价）：180万元（财政性资金）</w:t>
      </w:r>
    </w:p>
    <w:p w14:paraId="6A604D02">
      <w:pPr>
        <w:spacing w:line="360" w:lineRule="auto"/>
        <w:ind w:firstLine="420"/>
        <w:rPr>
          <w:rFonts w:ascii="宋体" w:hAnsi="宋体" w:eastAsia="宋体" w:cs="宋体"/>
          <w:color w:val="auto"/>
          <w:szCs w:val="21"/>
        </w:rPr>
      </w:pPr>
      <w:r>
        <w:rPr>
          <w:rFonts w:hint="eastAsia" w:ascii="宋体" w:hAnsi="宋体" w:eastAsia="宋体" w:cs="宋体"/>
          <w:color w:val="auto"/>
          <w:szCs w:val="21"/>
        </w:rPr>
        <w:t>服务期：一年。</w:t>
      </w:r>
    </w:p>
    <w:p w14:paraId="273257C8">
      <w:pPr>
        <w:spacing w:line="360" w:lineRule="auto"/>
        <w:ind w:firstLine="422"/>
        <w:rPr>
          <w:rFonts w:ascii="宋体" w:hAnsi="宋体" w:eastAsia="宋体" w:cs="宋体"/>
          <w:color w:val="auto"/>
          <w:szCs w:val="21"/>
        </w:rPr>
      </w:pPr>
      <w:r>
        <w:rPr>
          <w:rFonts w:hint="eastAsia" w:ascii="宋体" w:hAnsi="宋体" w:eastAsia="宋体" w:cs="宋体"/>
          <w:b/>
          <w:bCs/>
          <w:color w:val="auto"/>
          <w:szCs w:val="21"/>
        </w:rPr>
        <w:t>采购2包</w:t>
      </w:r>
      <w:r>
        <w:rPr>
          <w:rFonts w:hint="eastAsia" w:ascii="宋体" w:hAnsi="宋体" w:eastAsia="宋体" w:cs="宋体"/>
          <w:color w:val="auto"/>
          <w:szCs w:val="21"/>
        </w:rPr>
        <w:t>：智能研判平台服务</w:t>
      </w:r>
    </w:p>
    <w:p w14:paraId="53B487F3">
      <w:pPr>
        <w:spacing w:line="360" w:lineRule="auto"/>
        <w:ind w:firstLine="420"/>
        <w:rPr>
          <w:rFonts w:ascii="宋体" w:hAnsi="宋体" w:eastAsia="宋体" w:cs="宋体"/>
          <w:color w:val="auto"/>
          <w:szCs w:val="21"/>
        </w:rPr>
      </w:pPr>
      <w:r>
        <w:rPr>
          <w:rFonts w:hint="eastAsia" w:ascii="宋体" w:hAnsi="宋体" w:eastAsia="宋体" w:cs="宋体"/>
          <w:color w:val="auto"/>
          <w:szCs w:val="21"/>
        </w:rPr>
        <w:t>预算金额（最高限价）：70万元（财政性资金）</w:t>
      </w:r>
    </w:p>
    <w:p w14:paraId="3406ED73">
      <w:pPr>
        <w:spacing w:line="360" w:lineRule="auto"/>
        <w:ind w:firstLine="420"/>
        <w:rPr>
          <w:rFonts w:ascii="宋体" w:hAnsi="宋体" w:eastAsia="宋体" w:cs="宋体"/>
          <w:color w:val="auto"/>
          <w:szCs w:val="21"/>
        </w:rPr>
      </w:pPr>
      <w:r>
        <w:rPr>
          <w:rFonts w:hint="eastAsia" w:ascii="宋体" w:hAnsi="宋体" w:eastAsia="宋体" w:cs="宋体"/>
          <w:color w:val="auto"/>
          <w:szCs w:val="21"/>
        </w:rPr>
        <w:t>服务期：一年。</w:t>
      </w:r>
    </w:p>
    <w:p w14:paraId="55B4E20B">
      <w:pPr>
        <w:spacing w:line="360" w:lineRule="auto"/>
        <w:ind w:firstLine="422"/>
        <w:rPr>
          <w:rFonts w:ascii="宋体" w:hAnsi="宋体" w:eastAsia="宋体" w:cs="宋体"/>
          <w:color w:val="auto"/>
          <w:szCs w:val="21"/>
        </w:rPr>
      </w:pPr>
      <w:r>
        <w:rPr>
          <w:rFonts w:hint="eastAsia" w:ascii="宋体" w:hAnsi="宋体" w:eastAsia="宋体" w:cs="宋体"/>
          <w:b/>
          <w:bCs/>
          <w:color w:val="auto"/>
          <w:szCs w:val="21"/>
        </w:rPr>
        <w:t>采购3包</w:t>
      </w:r>
      <w:r>
        <w:rPr>
          <w:rFonts w:hint="eastAsia" w:ascii="宋体" w:hAnsi="宋体" w:eastAsia="宋体" w:cs="宋体"/>
          <w:color w:val="auto"/>
          <w:szCs w:val="21"/>
        </w:rPr>
        <w:t>：大数据辅助分析系统查询服务</w:t>
      </w:r>
    </w:p>
    <w:p w14:paraId="3C1D4566">
      <w:pPr>
        <w:spacing w:line="360" w:lineRule="auto"/>
        <w:ind w:firstLine="420"/>
        <w:rPr>
          <w:rFonts w:ascii="宋体" w:hAnsi="宋体" w:eastAsia="宋体" w:cs="宋体"/>
          <w:color w:val="auto"/>
          <w:szCs w:val="21"/>
        </w:rPr>
      </w:pPr>
      <w:r>
        <w:rPr>
          <w:rFonts w:hint="eastAsia" w:ascii="宋体" w:hAnsi="宋体" w:eastAsia="宋体" w:cs="宋体"/>
          <w:color w:val="auto"/>
          <w:szCs w:val="21"/>
        </w:rPr>
        <w:t>预算金额（最高限价）：118万元（财政性资金）</w:t>
      </w:r>
    </w:p>
    <w:p w14:paraId="0BBBD1C4">
      <w:pPr>
        <w:spacing w:line="360" w:lineRule="auto"/>
        <w:ind w:firstLine="420"/>
        <w:rPr>
          <w:rFonts w:ascii="宋体" w:hAnsi="宋体" w:eastAsia="宋体" w:cs="宋体"/>
          <w:color w:val="auto"/>
          <w:szCs w:val="21"/>
        </w:rPr>
      </w:pPr>
      <w:r>
        <w:rPr>
          <w:rFonts w:hint="eastAsia" w:ascii="宋体" w:hAnsi="宋体" w:eastAsia="宋体" w:cs="宋体"/>
          <w:color w:val="auto"/>
          <w:szCs w:val="21"/>
        </w:rPr>
        <w:t>服务期：一年。</w:t>
      </w:r>
    </w:p>
    <w:p w14:paraId="2AB450E8">
      <w:pPr>
        <w:spacing w:line="360" w:lineRule="auto"/>
        <w:ind w:firstLine="422"/>
        <w:rPr>
          <w:rFonts w:ascii="宋体" w:hAnsi="宋体" w:eastAsia="宋体" w:cs="宋体"/>
          <w:color w:val="auto"/>
          <w:szCs w:val="21"/>
        </w:rPr>
      </w:pPr>
      <w:r>
        <w:rPr>
          <w:rFonts w:hint="eastAsia" w:ascii="宋体" w:hAnsi="宋体" w:eastAsia="宋体" w:cs="宋体"/>
          <w:b/>
          <w:bCs/>
          <w:color w:val="auto"/>
          <w:szCs w:val="21"/>
        </w:rPr>
        <w:t>采购4包</w:t>
      </w:r>
      <w:r>
        <w:rPr>
          <w:rFonts w:hint="eastAsia" w:ascii="宋体" w:hAnsi="宋体" w:eastAsia="宋体" w:cs="宋体"/>
          <w:color w:val="auto"/>
          <w:szCs w:val="21"/>
        </w:rPr>
        <w:t>：互联网大数据智能研判系统技术服务</w:t>
      </w:r>
    </w:p>
    <w:p w14:paraId="38AF2451">
      <w:pPr>
        <w:spacing w:line="360" w:lineRule="auto"/>
        <w:ind w:firstLine="420"/>
        <w:rPr>
          <w:rFonts w:ascii="宋体" w:hAnsi="宋体" w:eastAsia="宋体" w:cs="宋体"/>
          <w:color w:val="auto"/>
          <w:szCs w:val="21"/>
        </w:rPr>
      </w:pPr>
      <w:r>
        <w:rPr>
          <w:rFonts w:hint="eastAsia" w:ascii="宋体" w:hAnsi="宋体" w:eastAsia="宋体" w:cs="宋体"/>
          <w:color w:val="auto"/>
          <w:szCs w:val="21"/>
        </w:rPr>
        <w:t>预算金额（最高限价）：100万元（财政性资金）</w:t>
      </w:r>
    </w:p>
    <w:p w14:paraId="2B47C4D1">
      <w:pPr>
        <w:spacing w:line="360" w:lineRule="auto"/>
        <w:ind w:firstLine="420"/>
        <w:rPr>
          <w:rFonts w:ascii="宋体" w:hAnsi="宋体" w:eastAsia="宋体" w:cs="宋体"/>
          <w:color w:val="auto"/>
          <w:szCs w:val="21"/>
        </w:rPr>
      </w:pPr>
      <w:r>
        <w:rPr>
          <w:rFonts w:hint="eastAsia" w:ascii="宋体" w:hAnsi="宋体" w:eastAsia="宋体" w:cs="宋体"/>
          <w:color w:val="auto"/>
          <w:szCs w:val="21"/>
        </w:rPr>
        <w:t>服务期：一年。</w:t>
      </w:r>
    </w:p>
    <w:p w14:paraId="0F36B561">
      <w:pPr>
        <w:spacing w:line="360" w:lineRule="auto"/>
        <w:ind w:firstLine="422"/>
        <w:rPr>
          <w:rFonts w:ascii="宋体" w:hAnsi="宋体" w:eastAsia="宋体" w:cs="宋体"/>
          <w:color w:val="auto"/>
          <w:szCs w:val="21"/>
        </w:rPr>
      </w:pPr>
      <w:r>
        <w:rPr>
          <w:rFonts w:hint="eastAsia" w:ascii="宋体" w:hAnsi="宋体" w:eastAsia="宋体" w:cs="宋体"/>
          <w:b/>
          <w:bCs/>
          <w:color w:val="auto"/>
          <w:szCs w:val="21"/>
        </w:rPr>
        <w:t>采购5包</w:t>
      </w:r>
      <w:r>
        <w:rPr>
          <w:rFonts w:hint="eastAsia" w:ascii="宋体" w:hAnsi="宋体" w:eastAsia="宋体" w:cs="宋体"/>
          <w:color w:val="auto"/>
          <w:szCs w:val="21"/>
        </w:rPr>
        <w:t>：涉网犯罪智能分析查询服务</w:t>
      </w:r>
    </w:p>
    <w:p w14:paraId="7BB5A014">
      <w:pPr>
        <w:spacing w:line="360" w:lineRule="auto"/>
        <w:ind w:firstLine="420"/>
        <w:rPr>
          <w:rFonts w:ascii="宋体" w:hAnsi="宋体" w:eastAsia="宋体" w:cs="宋体"/>
          <w:color w:val="auto"/>
          <w:szCs w:val="21"/>
        </w:rPr>
      </w:pPr>
      <w:r>
        <w:rPr>
          <w:rFonts w:hint="eastAsia" w:ascii="宋体" w:hAnsi="宋体" w:eastAsia="宋体" w:cs="宋体"/>
          <w:color w:val="auto"/>
          <w:szCs w:val="21"/>
        </w:rPr>
        <w:t>预算金额（最高限价）：99万元（财政性资金）</w:t>
      </w:r>
    </w:p>
    <w:p w14:paraId="5DE32E3F">
      <w:pPr>
        <w:spacing w:line="360" w:lineRule="auto"/>
        <w:ind w:firstLine="420"/>
        <w:rPr>
          <w:rFonts w:ascii="宋体" w:hAnsi="宋体" w:eastAsia="宋体" w:cs="宋体"/>
          <w:color w:val="auto"/>
          <w:szCs w:val="21"/>
        </w:rPr>
      </w:pPr>
      <w:r>
        <w:rPr>
          <w:rFonts w:hint="eastAsia" w:ascii="宋体" w:hAnsi="宋体" w:eastAsia="宋体" w:cs="宋体"/>
          <w:color w:val="auto"/>
          <w:szCs w:val="21"/>
        </w:rPr>
        <w:t>服务期：一年。</w:t>
      </w:r>
    </w:p>
    <w:p w14:paraId="0A4022B2">
      <w:pPr>
        <w:spacing w:line="360" w:lineRule="auto"/>
        <w:ind w:firstLine="422"/>
        <w:rPr>
          <w:rFonts w:ascii="宋体" w:hAnsi="宋体" w:eastAsia="宋体" w:cs="宋体"/>
          <w:color w:val="auto"/>
          <w:szCs w:val="21"/>
        </w:rPr>
      </w:pPr>
      <w:r>
        <w:rPr>
          <w:rFonts w:hint="eastAsia" w:ascii="宋体" w:hAnsi="宋体" w:eastAsia="宋体" w:cs="宋体"/>
          <w:b/>
          <w:bCs/>
          <w:color w:val="auto"/>
          <w:szCs w:val="21"/>
        </w:rPr>
        <w:t>采购6包</w:t>
      </w:r>
      <w:r>
        <w:rPr>
          <w:rFonts w:hint="eastAsia" w:ascii="宋体" w:hAnsi="宋体" w:eastAsia="宋体" w:cs="宋体"/>
          <w:color w:val="auto"/>
          <w:szCs w:val="21"/>
        </w:rPr>
        <w:t>：智能预警及终端分析查询服务</w:t>
      </w:r>
    </w:p>
    <w:p w14:paraId="7F0369DD">
      <w:pPr>
        <w:spacing w:line="360" w:lineRule="auto"/>
        <w:ind w:firstLine="420"/>
        <w:rPr>
          <w:rFonts w:ascii="宋体" w:hAnsi="宋体" w:eastAsia="宋体" w:cs="宋体"/>
          <w:color w:val="auto"/>
          <w:szCs w:val="21"/>
        </w:rPr>
      </w:pPr>
      <w:r>
        <w:rPr>
          <w:rFonts w:hint="eastAsia" w:ascii="宋体" w:hAnsi="宋体" w:eastAsia="宋体" w:cs="宋体"/>
          <w:color w:val="auto"/>
          <w:szCs w:val="21"/>
        </w:rPr>
        <w:t>预算金额（最高限价）：86万元（财政性资金）</w:t>
      </w:r>
    </w:p>
    <w:p w14:paraId="47906DF0">
      <w:pPr>
        <w:spacing w:line="360" w:lineRule="auto"/>
        <w:ind w:firstLine="420"/>
        <w:rPr>
          <w:rFonts w:ascii="宋体" w:hAnsi="宋体" w:eastAsia="宋体" w:cs="宋体"/>
          <w:color w:val="auto"/>
          <w:szCs w:val="21"/>
        </w:rPr>
      </w:pPr>
      <w:r>
        <w:rPr>
          <w:rFonts w:hint="eastAsia" w:ascii="宋体" w:hAnsi="宋体" w:eastAsia="宋体" w:cs="宋体"/>
          <w:color w:val="auto"/>
          <w:szCs w:val="21"/>
        </w:rPr>
        <w:t>服务期：一年。</w:t>
      </w:r>
    </w:p>
    <w:p w14:paraId="03EDA57E">
      <w:pPr>
        <w:spacing w:line="360" w:lineRule="auto"/>
        <w:ind w:firstLine="422"/>
        <w:rPr>
          <w:rFonts w:ascii="宋体" w:hAnsi="宋体" w:eastAsia="宋体" w:cs="宋体"/>
          <w:color w:val="auto"/>
          <w:szCs w:val="21"/>
        </w:rPr>
      </w:pPr>
      <w:r>
        <w:rPr>
          <w:rFonts w:hint="eastAsia" w:ascii="宋体" w:hAnsi="宋体" w:eastAsia="宋体" w:cs="宋体"/>
          <w:b/>
          <w:bCs/>
          <w:color w:val="auto"/>
          <w:szCs w:val="21"/>
        </w:rPr>
        <w:t>采购7包</w:t>
      </w:r>
      <w:r>
        <w:rPr>
          <w:rFonts w:hint="eastAsia" w:ascii="宋体" w:hAnsi="宋体" w:eastAsia="宋体" w:cs="宋体"/>
          <w:color w:val="auto"/>
          <w:szCs w:val="21"/>
        </w:rPr>
        <w:t>：TG查询及区块链查询服务</w:t>
      </w:r>
    </w:p>
    <w:p w14:paraId="2DA0CB13">
      <w:pPr>
        <w:spacing w:line="360" w:lineRule="auto"/>
        <w:ind w:firstLine="420"/>
        <w:rPr>
          <w:rFonts w:ascii="宋体" w:hAnsi="宋体" w:eastAsia="宋体" w:cs="宋体"/>
          <w:color w:val="auto"/>
          <w:szCs w:val="21"/>
        </w:rPr>
      </w:pPr>
      <w:r>
        <w:rPr>
          <w:rFonts w:hint="eastAsia" w:ascii="宋体" w:hAnsi="宋体" w:eastAsia="宋体" w:cs="宋体"/>
          <w:color w:val="auto"/>
          <w:szCs w:val="21"/>
        </w:rPr>
        <w:t>预算金额（最高限价）：67万元（财政性资金）</w:t>
      </w:r>
    </w:p>
    <w:p w14:paraId="40BA0F93">
      <w:pPr>
        <w:spacing w:line="360" w:lineRule="auto"/>
        <w:ind w:firstLine="420"/>
        <w:rPr>
          <w:rFonts w:ascii="宋体" w:hAnsi="宋体" w:eastAsia="宋体" w:cs="宋体"/>
          <w:color w:val="auto"/>
          <w:szCs w:val="21"/>
        </w:rPr>
      </w:pPr>
      <w:r>
        <w:rPr>
          <w:rFonts w:hint="eastAsia" w:ascii="宋体" w:hAnsi="宋体" w:eastAsia="宋体" w:cs="宋体"/>
          <w:color w:val="auto"/>
          <w:szCs w:val="21"/>
        </w:rPr>
        <w:t>服务期：一年。</w:t>
      </w:r>
    </w:p>
    <w:p w14:paraId="4EF647E0">
      <w:pPr>
        <w:spacing w:line="360" w:lineRule="auto"/>
        <w:ind w:firstLine="422"/>
        <w:rPr>
          <w:rFonts w:cs="宋体"/>
          <w:b/>
          <w:color w:val="auto"/>
          <w:szCs w:val="21"/>
        </w:rPr>
      </w:pPr>
      <w:r>
        <w:rPr>
          <w:rFonts w:hint="eastAsia" w:cs="宋体"/>
          <w:b/>
          <w:color w:val="auto"/>
          <w:szCs w:val="21"/>
        </w:rPr>
        <w:t>说明：本项目分7个采购包，各采购包独立招标，同一投标供应商可以同时报名参加7个采购包，投标供应商可以同时参与投标；采购包兼投兼中；评标顺序：采购1包 →采购2包→采购3包→采购4包 →采购5包→采购6包→采购7包。</w:t>
      </w:r>
    </w:p>
    <w:p w14:paraId="5235C5FE">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5.采购需求（简介）：详细内容见本招标文件第四章</w:t>
      </w:r>
    </w:p>
    <w:p w14:paraId="3FE19C5F">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6.合同履行期限：一年。</w:t>
      </w:r>
    </w:p>
    <w:p w14:paraId="14E44CD9">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7.本项目（是/否）接受联合体参与招标：否</w:t>
      </w:r>
    </w:p>
    <w:p w14:paraId="04E41644">
      <w:pPr>
        <w:pStyle w:val="32"/>
        <w:spacing w:beforeAutospacing="0" w:afterAutospacing="0" w:line="360" w:lineRule="auto"/>
        <w:ind w:firstLine="480"/>
        <w:jc w:val="both"/>
        <w:rPr>
          <w:rFonts w:ascii="宋体" w:hAnsi="宋体" w:eastAsia="宋体" w:cs="宋体"/>
          <w:color w:val="auto"/>
          <w:sz w:val="21"/>
          <w:szCs w:val="21"/>
        </w:rPr>
      </w:pPr>
      <w:bookmarkStart w:id="12" w:name="_Toc35393622"/>
      <w:bookmarkStart w:id="13" w:name="_Toc38985264"/>
      <w:bookmarkStart w:id="14" w:name="_Toc28359003"/>
      <w:bookmarkStart w:id="15" w:name="_Toc35393791"/>
      <w:bookmarkStart w:id="16" w:name="_Toc28359080"/>
      <w:r>
        <w:rPr>
          <w:rFonts w:hint="eastAsia" w:ascii="宋体" w:hAnsi="宋体" w:eastAsia="宋体" w:cs="宋体"/>
          <w:b/>
          <w:color w:val="auto"/>
          <w:sz w:val="21"/>
          <w:szCs w:val="21"/>
        </w:rPr>
        <w:t>二、申请人的资格要求：</w:t>
      </w:r>
      <w:bookmarkEnd w:id="12"/>
      <w:bookmarkEnd w:id="13"/>
      <w:bookmarkEnd w:id="14"/>
      <w:bookmarkEnd w:id="15"/>
      <w:bookmarkEnd w:id="16"/>
    </w:p>
    <w:p w14:paraId="2BDACCFD">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1.满足《中华人民共和国政府采购法》第二十二条规定，并提供下列材料：</w:t>
      </w:r>
    </w:p>
    <w:p w14:paraId="245E1C4E">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1.1 法人或者其他组织的营业执照等证明文件，自然人的身份证明；</w:t>
      </w:r>
    </w:p>
    <w:p w14:paraId="625E1C0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1.2上一年度的财务状况报告（成立不满一年无需提供）；</w:t>
      </w:r>
    </w:p>
    <w:p w14:paraId="2A5C237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1.3具备履行合同所必需的设备和专业技术能力的书面声明；</w:t>
      </w:r>
    </w:p>
    <w:p w14:paraId="582D1009">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2C688D85">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1.5参加政府采购活动前3年内在经营活动中没有重大违法记录的书面声明。</w:t>
      </w:r>
    </w:p>
    <w:p w14:paraId="7B57F0B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1.6法律、行政法规规定的其他条件。</w:t>
      </w:r>
    </w:p>
    <w:p w14:paraId="40EAF63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20F0DD37">
      <w:pPr>
        <w:pStyle w:val="32"/>
        <w:spacing w:beforeAutospacing="0" w:afterAutospacing="0" w:line="360" w:lineRule="auto"/>
        <w:ind w:firstLine="48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1.8单位负责人为同一人或者存在直接控股、管理关系的不同供应商，不得参加同一合同项下的政府采购活动。</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自行提供，格式自拟</w:t>
      </w:r>
      <w:r>
        <w:rPr>
          <w:rFonts w:hint="eastAsia" w:ascii="宋体" w:hAnsi="宋体" w:eastAsia="宋体" w:cs="宋体"/>
          <w:color w:val="auto"/>
          <w:sz w:val="21"/>
          <w:szCs w:val="21"/>
          <w:lang w:eastAsia="zh-CN"/>
        </w:rPr>
        <w:t>）</w:t>
      </w:r>
    </w:p>
    <w:p w14:paraId="692CAD04">
      <w:pPr>
        <w:pStyle w:val="32"/>
        <w:spacing w:beforeAutospacing="0" w:afterAutospacing="0" w:line="360" w:lineRule="auto"/>
        <w:ind w:firstLine="420"/>
        <w:jc w:val="both"/>
        <w:rPr>
          <w:rFonts w:ascii="宋体" w:hAnsi="宋体" w:eastAsia="宋体" w:cs="宋体"/>
          <w:color w:val="auto"/>
          <w:sz w:val="21"/>
          <w:szCs w:val="21"/>
        </w:rPr>
      </w:pPr>
      <w:r>
        <w:rPr>
          <w:rFonts w:hint="eastAsia" w:ascii="宋体" w:hAnsi="宋体" w:eastAsia="宋体" w:cs="宋体"/>
          <w:color w:val="auto"/>
          <w:sz w:val="21"/>
          <w:szCs w:val="21"/>
        </w:rPr>
        <w:t>2.落实政府采购政策需满足的资格要求：本项目专门面向中小企业采购。采购标的的所属行业为软件和信息技术服务业，投标人需按照招标文件的要求提供相应的《中小企业声明函》。企业标准请参照《关于印发中小企业划型标准规定的通知》（工信部联企业[2011]300号）文件规定自行填写。</w:t>
      </w:r>
    </w:p>
    <w:p w14:paraId="193E9F78">
      <w:pPr>
        <w:spacing w:line="398" w:lineRule="exact"/>
        <w:ind w:firstLine="420"/>
        <w:rPr>
          <w:rFonts w:ascii="宋体" w:hAnsi="宋体" w:eastAsia="宋体" w:cs="宋体"/>
          <w:color w:val="auto"/>
          <w:szCs w:val="21"/>
        </w:rPr>
      </w:pPr>
      <w:r>
        <w:rPr>
          <w:rFonts w:hint="eastAsia" w:ascii="宋体" w:hAnsi="宋体" w:eastAsia="宋体" w:cs="宋体"/>
          <w:color w:val="auto"/>
          <w:szCs w:val="21"/>
        </w:rPr>
        <w:t>3.本项目的特定资格要求：无。</w:t>
      </w:r>
    </w:p>
    <w:p w14:paraId="10936900">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b/>
          <w:color w:val="auto"/>
          <w:sz w:val="21"/>
          <w:szCs w:val="21"/>
        </w:rPr>
        <w:t>三、获取招标文件</w:t>
      </w:r>
    </w:p>
    <w:p w14:paraId="7025B09F">
      <w:pPr>
        <w:pStyle w:val="32"/>
        <w:spacing w:beforeAutospacing="0" w:afterAutospacing="0" w:line="360" w:lineRule="auto"/>
        <w:ind w:firstLine="480"/>
        <w:jc w:val="both"/>
        <w:rPr>
          <w:rFonts w:ascii="宋体" w:hAnsi="宋体" w:eastAsia="宋体" w:cs="宋体"/>
          <w:color w:val="auto"/>
          <w:sz w:val="21"/>
          <w:szCs w:val="21"/>
        </w:rPr>
      </w:pPr>
      <w:bookmarkStart w:id="17" w:name="_Toc28359082"/>
      <w:bookmarkStart w:id="18" w:name="_Toc35393624"/>
      <w:bookmarkStart w:id="19" w:name="_Toc35393793"/>
      <w:bookmarkStart w:id="20" w:name="_Toc28359005"/>
      <w:bookmarkStart w:id="21" w:name="_Toc38985266"/>
      <w:r>
        <w:rPr>
          <w:rFonts w:hint="eastAsia" w:ascii="宋体" w:hAnsi="宋体" w:eastAsia="宋体" w:cs="宋体"/>
          <w:color w:val="auto"/>
          <w:sz w:val="21"/>
          <w:szCs w:val="21"/>
        </w:rPr>
        <w:t>1.时间：</w:t>
      </w:r>
      <w:bookmarkEnd w:id="17"/>
      <w:bookmarkEnd w:id="18"/>
      <w:bookmarkEnd w:id="19"/>
      <w:bookmarkEnd w:id="20"/>
      <w:bookmarkEnd w:id="21"/>
      <w:r>
        <w:rPr>
          <w:rFonts w:hint="eastAsia" w:ascii="宋体" w:hAnsi="宋体" w:eastAsia="宋体" w:cs="宋体"/>
          <w:color w:val="auto"/>
          <w:sz w:val="21"/>
          <w:szCs w:val="21"/>
        </w:rPr>
        <w:t>自招标文件公告发布之日起5个工作日。</w:t>
      </w:r>
    </w:p>
    <w:p w14:paraId="25F0CB3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2.地点：“苏采云”系统内免费下载（投标人必须在苏采云系统中获取采购文件，方能参与政府采购项目）；</w:t>
      </w:r>
    </w:p>
    <w:p w14:paraId="7E0CEC77">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 xml:space="preserve">3.方式：本项目采用网上注册登记方式。 </w:t>
      </w:r>
    </w:p>
    <w:p w14:paraId="3533F8F4">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4.售价：0元</w:t>
      </w:r>
    </w:p>
    <w:p w14:paraId="0F3CBD0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b/>
          <w:color w:val="auto"/>
          <w:sz w:val="21"/>
          <w:szCs w:val="21"/>
        </w:rPr>
        <w:t>四、提交投标文件截止时间、开标时间和地点</w:t>
      </w:r>
    </w:p>
    <w:p w14:paraId="21E75D51">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1.时间：</w:t>
      </w:r>
      <w:r>
        <w:rPr>
          <w:rFonts w:hint="eastAsia" w:ascii="宋体" w:hAnsi="宋体" w:eastAsia="宋体" w:cs="宋体"/>
          <w:color w:val="auto"/>
          <w:sz w:val="21"/>
          <w:szCs w:val="21"/>
          <w:lang w:val="en-US" w:eastAsia="zh-CN"/>
        </w:rPr>
        <w:t>2026</w:t>
      </w:r>
      <w:r>
        <w:rPr>
          <w:rFonts w:hint="eastAsia" w:ascii="宋体" w:hAnsi="宋体" w:eastAsia="宋体" w:cs="宋体"/>
          <w:color w:val="auto"/>
          <w:sz w:val="21"/>
          <w:szCs w:val="21"/>
        </w:rPr>
        <w:t>年</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月</w:t>
      </w:r>
      <w:r>
        <w:rPr>
          <w:rFonts w:hint="eastAsia" w:ascii="宋体" w:hAnsi="宋体" w:eastAsia="宋体" w:cs="宋体"/>
          <w:color w:val="auto"/>
          <w:sz w:val="21"/>
          <w:szCs w:val="21"/>
          <w:lang w:val="en-US" w:eastAsia="zh-CN"/>
        </w:rPr>
        <w:t>22</w:t>
      </w:r>
      <w:r>
        <w:rPr>
          <w:rFonts w:hint="eastAsia" w:ascii="宋体" w:hAnsi="宋体" w:eastAsia="宋体" w:cs="宋体"/>
          <w:color w:val="auto"/>
          <w:sz w:val="21"/>
          <w:szCs w:val="21"/>
        </w:rPr>
        <w:t>日09:00（北京时间）</w:t>
      </w:r>
    </w:p>
    <w:p w14:paraId="40965004">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2.地点：苏采云“不见面”开标大厅 。</w:t>
      </w:r>
    </w:p>
    <w:p w14:paraId="2F44B9C5">
      <w:pPr>
        <w:pStyle w:val="32"/>
        <w:spacing w:beforeAutospacing="0" w:afterAutospacing="0" w:line="360" w:lineRule="auto"/>
        <w:ind w:firstLine="480"/>
        <w:jc w:val="both"/>
        <w:rPr>
          <w:rFonts w:ascii="宋体" w:hAnsi="宋体" w:eastAsia="宋体" w:cs="宋体"/>
          <w:color w:val="auto"/>
          <w:sz w:val="21"/>
          <w:szCs w:val="21"/>
        </w:rPr>
      </w:pPr>
      <w:bookmarkStart w:id="22" w:name="_Toc28359007"/>
      <w:bookmarkStart w:id="23" w:name="_Toc35393794"/>
      <w:bookmarkStart w:id="24" w:name="_Toc28359084"/>
      <w:bookmarkStart w:id="25" w:name="_Toc35393625"/>
      <w:bookmarkStart w:id="26" w:name="_Toc38985267"/>
      <w:r>
        <w:rPr>
          <w:rFonts w:hint="eastAsia" w:ascii="宋体" w:hAnsi="宋体" w:eastAsia="宋体" w:cs="宋体"/>
          <w:b/>
          <w:color w:val="auto"/>
          <w:sz w:val="21"/>
          <w:szCs w:val="21"/>
        </w:rPr>
        <w:t>五、公告期限</w:t>
      </w:r>
      <w:bookmarkEnd w:id="22"/>
      <w:bookmarkEnd w:id="23"/>
      <w:bookmarkEnd w:id="24"/>
      <w:bookmarkEnd w:id="25"/>
      <w:bookmarkEnd w:id="26"/>
    </w:p>
    <w:p w14:paraId="3E4F3EBD">
      <w:pPr>
        <w:pStyle w:val="32"/>
        <w:spacing w:beforeAutospacing="0" w:afterAutospacing="0" w:line="360" w:lineRule="auto"/>
        <w:ind w:firstLine="480"/>
        <w:jc w:val="both"/>
        <w:rPr>
          <w:rFonts w:ascii="宋体" w:hAnsi="宋体" w:eastAsia="宋体" w:cs="宋体"/>
          <w:color w:val="auto"/>
          <w:sz w:val="21"/>
          <w:szCs w:val="21"/>
          <w:shd w:val="clear" w:color="auto" w:fill="FFFFFF"/>
        </w:rPr>
      </w:pPr>
      <w:bookmarkStart w:id="27" w:name="_Toc35393795"/>
      <w:bookmarkStart w:id="28" w:name="_Toc35393626"/>
      <w:bookmarkStart w:id="29" w:name="_Toc38985268"/>
      <w:r>
        <w:rPr>
          <w:rFonts w:hint="eastAsia" w:ascii="宋体" w:hAnsi="宋体" w:eastAsia="宋体" w:cs="宋体"/>
          <w:color w:val="auto"/>
          <w:sz w:val="21"/>
          <w:szCs w:val="21"/>
          <w:shd w:val="clear" w:color="auto" w:fill="FFFFFF"/>
        </w:rPr>
        <w:t>自本公告发布之日起5个工作日。</w:t>
      </w:r>
      <w:bookmarkEnd w:id="27"/>
      <w:bookmarkEnd w:id="28"/>
      <w:bookmarkEnd w:id="29"/>
    </w:p>
    <w:p w14:paraId="57C2412D">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b/>
          <w:color w:val="auto"/>
          <w:sz w:val="21"/>
          <w:szCs w:val="21"/>
        </w:rPr>
        <w:t>六、其他补充事宜</w:t>
      </w:r>
    </w:p>
    <w:p w14:paraId="5068C839">
      <w:pPr>
        <w:pStyle w:val="32"/>
        <w:spacing w:beforeAutospacing="0" w:afterAutospacing="0" w:line="360" w:lineRule="auto"/>
        <w:ind w:firstLine="480"/>
        <w:jc w:val="both"/>
        <w:rPr>
          <w:rFonts w:ascii="宋体" w:hAnsi="宋体" w:eastAsia="宋体" w:cs="宋体"/>
          <w:color w:val="auto"/>
          <w:sz w:val="21"/>
          <w:szCs w:val="21"/>
          <w:shd w:val="clear" w:color="auto" w:fill="FFFFFF"/>
        </w:rPr>
      </w:pPr>
      <w:bookmarkStart w:id="30" w:name="_Toc28359018"/>
      <w:r>
        <w:rPr>
          <w:rFonts w:hint="eastAsia" w:ascii="宋体" w:hAnsi="宋体" w:eastAsia="宋体" w:cs="宋体"/>
          <w:color w:val="auto"/>
          <w:sz w:val="21"/>
          <w:szCs w:val="21"/>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427AE171">
      <w:pPr>
        <w:pStyle w:val="32"/>
        <w:spacing w:beforeAutospacing="0" w:afterAutospacing="0" w:line="360" w:lineRule="auto"/>
        <w:ind w:firstLine="480"/>
        <w:jc w:val="both"/>
        <w:rPr>
          <w:rFonts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414AB07D">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 xml:space="preserve">2. 潜在供应商访问电子招标响应交易平台的网络地址和方法： </w:t>
      </w:r>
    </w:p>
    <w:p w14:paraId="06745C76">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532DEA6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 xml:space="preserve">2.2 潜在投标人访问“苏采云”系统方法：江苏省政府采购网首页-“苏采云”链接。 </w:t>
      </w:r>
    </w:p>
    <w:p w14:paraId="037AD094">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 xml:space="preserve">2.3 采购文件（后缀名为“.kedt”）、供应商操作手册及政府采购客户端 工具可通过“苏采云”系统相应链接进行下载。 </w:t>
      </w:r>
    </w:p>
    <w:p w14:paraId="0C90EEF4">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 xml:space="preserve">2.4 采购代理机构将数据电文形式的采购文件加载至“苏采云”系统，供潜在供应商下载或者查阅。 </w:t>
      </w:r>
    </w:p>
    <w:p w14:paraId="2C2A404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 xml:space="preserve">2.5 请潜在投标单位提前安装相应的控件（详见《“苏采云”系统供应商操作手册》）并使用谷歌浏览器登录“苏采云”系统参与不见面开评标。 </w:t>
      </w:r>
    </w:p>
    <w:p w14:paraId="092FB45D">
      <w:pPr>
        <w:widowControl/>
        <w:spacing w:line="360" w:lineRule="auto"/>
        <w:ind w:firstLine="420"/>
        <w:jc w:val="left"/>
        <w:rPr>
          <w:rFonts w:ascii="宋体" w:hAnsi="宋体" w:eastAsia="宋体" w:cs="宋体"/>
          <w:color w:val="auto"/>
          <w:szCs w:val="21"/>
        </w:rPr>
      </w:pPr>
      <w:r>
        <w:rPr>
          <w:rFonts w:hint="eastAsia" w:ascii="宋体" w:hAnsi="宋体" w:eastAsia="宋体" w:cs="宋体"/>
          <w:color w:val="auto"/>
          <w:szCs w:val="21"/>
        </w:rPr>
        <w:t>如潜在投标人未按上述要求操作，将自行承担所产生的风险。</w:t>
      </w:r>
    </w:p>
    <w:p w14:paraId="4FE0B599">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3.有关本次招标的事项若存在变动或修改，敬请及时关注“中国政府采购网”“江苏政府采购网”“盐城市政府采购网”发布的更正公告。</w:t>
      </w:r>
    </w:p>
    <w:p w14:paraId="66B2A270">
      <w:pPr>
        <w:pStyle w:val="32"/>
        <w:spacing w:beforeAutospacing="0" w:afterAutospacing="0" w:line="360" w:lineRule="auto"/>
        <w:ind w:firstLine="480"/>
        <w:jc w:val="both"/>
        <w:rPr>
          <w:rFonts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4.本次招标不收取投标保证金，不收取质量保证金。</w:t>
      </w:r>
    </w:p>
    <w:p w14:paraId="3F2C9A62">
      <w:pPr>
        <w:pStyle w:val="32"/>
        <w:spacing w:beforeAutospacing="0" w:afterAutospacing="0" w:line="360" w:lineRule="auto"/>
        <w:ind w:firstLine="480"/>
        <w:jc w:val="both"/>
        <w:rPr>
          <w:rFonts w:ascii="宋体" w:hAnsi="宋体" w:eastAsia="宋体" w:cs="宋体"/>
          <w:b/>
          <w:bCs/>
          <w:color w:val="auto"/>
          <w:sz w:val="21"/>
          <w:szCs w:val="21"/>
        </w:rPr>
      </w:pPr>
      <w:r>
        <w:rPr>
          <w:rFonts w:hint="eastAsia" w:ascii="宋体" w:hAnsi="宋体" w:eastAsia="宋体" w:cs="宋体"/>
          <w:b/>
          <w:bCs/>
          <w:color w:val="auto"/>
          <w:sz w:val="21"/>
          <w:szCs w:val="21"/>
        </w:rPr>
        <w:t>七、对本次招标提出询问，请按以下方式联系。</w:t>
      </w:r>
      <w:bookmarkEnd w:id="30"/>
    </w:p>
    <w:p w14:paraId="5F76AA54">
      <w:pPr>
        <w:spacing w:line="500" w:lineRule="exact"/>
        <w:ind w:firstLine="420"/>
        <w:rPr>
          <w:rFonts w:ascii="宋体" w:hAnsi="宋体" w:eastAsia="宋体" w:cs="宋体"/>
          <w:bCs/>
          <w:color w:val="auto"/>
          <w:szCs w:val="21"/>
        </w:rPr>
      </w:pPr>
      <w:bookmarkStart w:id="31" w:name="_Toc35393638"/>
      <w:bookmarkStart w:id="32" w:name="_Toc28359020"/>
      <w:bookmarkStart w:id="33" w:name="_Toc28359097"/>
      <w:bookmarkStart w:id="34" w:name="_Toc35393807"/>
      <w:bookmarkStart w:id="35" w:name="_Toc28359010"/>
      <w:bookmarkStart w:id="36" w:name="_Toc28359087"/>
      <w:bookmarkStart w:id="37" w:name="_Toc28359009"/>
      <w:r>
        <w:rPr>
          <w:rFonts w:hint="eastAsia" w:ascii="宋体" w:hAnsi="宋体" w:eastAsia="宋体" w:cs="宋体"/>
          <w:bCs/>
          <w:color w:val="auto"/>
          <w:szCs w:val="21"/>
        </w:rPr>
        <w:t>1.采购人信息</w:t>
      </w:r>
    </w:p>
    <w:p w14:paraId="1DE60621">
      <w:pPr>
        <w:spacing w:line="500" w:lineRule="exact"/>
        <w:ind w:firstLine="420"/>
        <w:rPr>
          <w:rFonts w:ascii="宋体" w:hAnsi="宋体" w:eastAsia="宋体" w:cs="宋体"/>
          <w:color w:val="auto"/>
          <w:szCs w:val="21"/>
        </w:rPr>
      </w:pPr>
      <w:r>
        <w:rPr>
          <w:rFonts w:hint="eastAsia" w:ascii="宋体" w:hAnsi="宋体" w:eastAsia="宋体" w:cs="宋体"/>
          <w:color w:val="auto"/>
          <w:szCs w:val="21"/>
        </w:rPr>
        <w:t>名    称：</w:t>
      </w:r>
      <w:r>
        <w:rPr>
          <w:rFonts w:hint="eastAsia" w:ascii="宋体" w:hAnsi="宋体" w:eastAsia="宋体" w:cs="宋体"/>
          <w:bCs/>
          <w:color w:val="auto"/>
          <w:szCs w:val="21"/>
        </w:rPr>
        <w:t>盐城市公安局</w:t>
      </w:r>
    </w:p>
    <w:p w14:paraId="61400762">
      <w:pPr>
        <w:spacing w:line="500" w:lineRule="exact"/>
        <w:ind w:firstLine="420"/>
        <w:rPr>
          <w:rFonts w:ascii="宋体" w:hAnsi="宋体" w:eastAsia="宋体" w:cs="宋体"/>
          <w:color w:val="auto"/>
          <w:szCs w:val="21"/>
        </w:rPr>
      </w:pPr>
      <w:r>
        <w:rPr>
          <w:rFonts w:hint="eastAsia" w:ascii="宋体" w:hAnsi="宋体" w:eastAsia="宋体" w:cs="宋体"/>
          <w:color w:val="auto"/>
          <w:szCs w:val="21"/>
        </w:rPr>
        <w:t>地    址：盐城市平安路9号</w:t>
      </w:r>
    </w:p>
    <w:p w14:paraId="47BA5C99">
      <w:pPr>
        <w:spacing w:line="500" w:lineRule="exact"/>
        <w:ind w:firstLine="420"/>
        <w:rPr>
          <w:rFonts w:ascii="宋体" w:hAnsi="宋体" w:eastAsia="宋体" w:cs="宋体"/>
          <w:color w:val="auto"/>
          <w:szCs w:val="21"/>
        </w:rPr>
      </w:pPr>
      <w:r>
        <w:rPr>
          <w:rFonts w:hint="eastAsia" w:ascii="宋体" w:hAnsi="宋体" w:eastAsia="宋体" w:cs="宋体"/>
          <w:color w:val="auto"/>
          <w:szCs w:val="21"/>
        </w:rPr>
        <w:t>联 系 人：江警官</w:t>
      </w:r>
    </w:p>
    <w:p w14:paraId="18288B0F">
      <w:pPr>
        <w:spacing w:line="500" w:lineRule="exact"/>
        <w:ind w:firstLine="420"/>
        <w:rPr>
          <w:rFonts w:ascii="宋体" w:hAnsi="宋体" w:eastAsia="宋体" w:cs="宋体"/>
          <w:color w:val="auto"/>
          <w:szCs w:val="21"/>
        </w:rPr>
      </w:pPr>
      <w:r>
        <w:rPr>
          <w:rFonts w:hint="eastAsia" w:ascii="宋体" w:hAnsi="宋体" w:eastAsia="宋体" w:cs="宋体"/>
          <w:color w:val="auto"/>
          <w:szCs w:val="21"/>
        </w:rPr>
        <w:t>联系电话：0515-83220095</w:t>
      </w:r>
    </w:p>
    <w:p w14:paraId="73FC08CC">
      <w:pPr>
        <w:spacing w:line="500" w:lineRule="exact"/>
        <w:ind w:firstLine="420"/>
        <w:rPr>
          <w:rFonts w:ascii="宋体" w:hAnsi="宋体" w:eastAsia="宋体" w:cs="宋体"/>
          <w:color w:val="auto"/>
          <w:szCs w:val="21"/>
        </w:rPr>
      </w:pPr>
      <w:r>
        <w:rPr>
          <w:rFonts w:hint="eastAsia" w:ascii="宋体" w:hAnsi="宋体" w:eastAsia="宋体" w:cs="宋体"/>
          <w:color w:val="auto"/>
          <w:szCs w:val="21"/>
        </w:rPr>
        <w:t>2.采购代理机构信息</w:t>
      </w:r>
      <w:bookmarkEnd w:id="31"/>
      <w:bookmarkEnd w:id="32"/>
      <w:bookmarkEnd w:id="33"/>
      <w:bookmarkEnd w:id="34"/>
    </w:p>
    <w:p w14:paraId="02605170">
      <w:pPr>
        <w:spacing w:line="500" w:lineRule="exact"/>
        <w:ind w:firstLine="420"/>
        <w:rPr>
          <w:rFonts w:ascii="宋体" w:hAnsi="宋体" w:eastAsia="宋体" w:cs="宋体"/>
          <w:color w:val="auto"/>
          <w:szCs w:val="21"/>
        </w:rPr>
      </w:pPr>
      <w:r>
        <w:rPr>
          <w:rFonts w:hint="eastAsia" w:ascii="宋体" w:hAnsi="宋体" w:eastAsia="宋体" w:cs="宋体"/>
          <w:color w:val="auto"/>
          <w:szCs w:val="21"/>
        </w:rPr>
        <w:t>名    称：盐城市智禾项目管理有限公司</w:t>
      </w:r>
    </w:p>
    <w:p w14:paraId="76C48DC8">
      <w:pPr>
        <w:spacing w:line="500" w:lineRule="exact"/>
        <w:ind w:firstLine="420"/>
        <w:rPr>
          <w:rFonts w:ascii="宋体" w:hAnsi="宋体" w:eastAsia="宋体" w:cs="宋体"/>
          <w:color w:val="auto"/>
          <w:szCs w:val="21"/>
        </w:rPr>
      </w:pPr>
      <w:r>
        <w:rPr>
          <w:rFonts w:hint="eastAsia" w:ascii="宋体" w:hAnsi="宋体" w:eastAsia="宋体" w:cs="宋体"/>
          <w:color w:val="auto"/>
          <w:szCs w:val="21"/>
        </w:rPr>
        <w:t>地    址：盐城市盐都区宏都路华邦国际西厦 603室</w:t>
      </w:r>
    </w:p>
    <w:p w14:paraId="7B63267B">
      <w:pPr>
        <w:spacing w:line="500" w:lineRule="exact"/>
        <w:ind w:firstLine="420"/>
        <w:rPr>
          <w:rFonts w:ascii="宋体" w:hAnsi="宋体" w:eastAsia="宋体" w:cs="宋体"/>
          <w:color w:val="auto"/>
          <w:szCs w:val="21"/>
        </w:rPr>
      </w:pPr>
      <w:r>
        <w:rPr>
          <w:rFonts w:hint="eastAsia" w:ascii="宋体" w:hAnsi="宋体" w:eastAsia="宋体" w:cs="宋体"/>
          <w:color w:val="auto"/>
          <w:szCs w:val="21"/>
        </w:rPr>
        <w:t>联 系 人：杨女士</w:t>
      </w:r>
    </w:p>
    <w:p w14:paraId="45AA1E80">
      <w:pPr>
        <w:spacing w:line="500" w:lineRule="exact"/>
        <w:ind w:firstLine="420"/>
        <w:rPr>
          <w:rFonts w:ascii="宋体" w:hAnsi="宋体" w:eastAsia="宋体" w:cs="宋体"/>
          <w:color w:val="auto"/>
          <w:szCs w:val="21"/>
        </w:rPr>
      </w:pPr>
      <w:r>
        <w:rPr>
          <w:rFonts w:hint="eastAsia" w:ascii="宋体" w:hAnsi="宋体" w:eastAsia="宋体" w:cs="宋体"/>
          <w:color w:val="auto"/>
          <w:szCs w:val="21"/>
        </w:rPr>
        <w:t>联系电话：13092197196     </w:t>
      </w:r>
      <w:bookmarkEnd w:id="35"/>
      <w:bookmarkEnd w:id="36"/>
    </w:p>
    <w:p w14:paraId="40F0865D">
      <w:pPr>
        <w:spacing w:line="500" w:lineRule="exact"/>
        <w:ind w:firstLine="420"/>
        <w:rPr>
          <w:rFonts w:ascii="宋体" w:hAnsi="宋体" w:eastAsia="宋体" w:cs="宋体"/>
          <w:color w:val="auto"/>
          <w:szCs w:val="21"/>
        </w:rPr>
      </w:pPr>
      <w:bookmarkStart w:id="38" w:name="_Toc28359021"/>
      <w:r>
        <w:rPr>
          <w:rFonts w:hint="eastAsia" w:ascii="宋体" w:hAnsi="宋体" w:eastAsia="宋体" w:cs="宋体"/>
          <w:color w:val="auto"/>
          <w:szCs w:val="21"/>
        </w:rPr>
        <w:t>3.</w:t>
      </w:r>
      <w:bookmarkEnd w:id="38"/>
      <w:r>
        <w:rPr>
          <w:rFonts w:hint="eastAsia" w:ascii="宋体" w:hAnsi="宋体" w:eastAsia="宋体" w:cs="宋体"/>
          <w:color w:val="auto"/>
          <w:szCs w:val="21"/>
        </w:rPr>
        <w:t>项目联系方式</w:t>
      </w:r>
    </w:p>
    <w:p w14:paraId="16549AFA">
      <w:pPr>
        <w:spacing w:line="500" w:lineRule="exact"/>
        <w:ind w:firstLine="420"/>
        <w:rPr>
          <w:rFonts w:ascii="宋体" w:hAnsi="宋体" w:eastAsia="宋体" w:cs="宋体"/>
          <w:color w:val="auto"/>
          <w:szCs w:val="21"/>
        </w:rPr>
      </w:pPr>
      <w:r>
        <w:rPr>
          <w:rFonts w:hint="eastAsia" w:ascii="宋体" w:hAnsi="宋体" w:eastAsia="宋体" w:cs="宋体"/>
          <w:color w:val="auto"/>
          <w:szCs w:val="21"/>
        </w:rPr>
        <w:t>项目联系人：杨女士</w:t>
      </w:r>
    </w:p>
    <w:p w14:paraId="2F6A4AF3">
      <w:pPr>
        <w:pStyle w:val="32"/>
        <w:spacing w:beforeAutospacing="0" w:afterAutospacing="0" w:line="360" w:lineRule="auto"/>
        <w:ind w:firstLine="420"/>
        <w:jc w:val="both"/>
        <w:rPr>
          <w:rFonts w:ascii="宋体" w:hAnsi="宋体" w:eastAsia="宋体" w:cs="宋体"/>
          <w:color w:val="auto"/>
          <w:sz w:val="21"/>
          <w:szCs w:val="21"/>
          <w:shd w:val="clear" w:color="auto" w:fill="FFFFFF"/>
        </w:rPr>
      </w:pPr>
      <w:r>
        <w:rPr>
          <w:rFonts w:hint="eastAsia" w:ascii="宋体" w:hAnsi="宋体" w:eastAsia="宋体" w:cs="宋体"/>
          <w:color w:val="auto"/>
          <w:sz w:val="21"/>
          <w:szCs w:val="21"/>
        </w:rPr>
        <w:t>电　　 话：</w:t>
      </w:r>
      <w:r>
        <w:rPr>
          <w:rFonts w:hint="eastAsia" w:ascii="宋体" w:hAnsi="宋体" w:eastAsia="宋体" w:cs="宋体"/>
          <w:b w:val="0"/>
          <w:bCs w:val="0"/>
          <w:color w:val="auto"/>
          <w:sz w:val="21"/>
          <w:szCs w:val="21"/>
        </w:rPr>
        <w:t>13092197196</w:t>
      </w:r>
      <w:r>
        <w:rPr>
          <w:rFonts w:hint="eastAsia" w:ascii="宋体" w:hAnsi="宋体" w:eastAsia="宋体" w:cs="宋体"/>
          <w:b w:val="0"/>
          <w:bCs w:val="0"/>
          <w:color w:val="auto"/>
          <w:sz w:val="21"/>
          <w:szCs w:val="21"/>
          <w:shd w:val="clear" w:color="auto" w:fill="FFFFFF"/>
        </w:rPr>
        <w:t>　</w:t>
      </w:r>
      <w:r>
        <w:rPr>
          <w:rFonts w:hint="eastAsia" w:ascii="宋体" w:hAnsi="宋体" w:eastAsia="宋体" w:cs="宋体"/>
          <w:color w:val="auto"/>
          <w:sz w:val="21"/>
          <w:szCs w:val="21"/>
          <w:shd w:val="clear" w:color="auto" w:fill="FFFFFF"/>
        </w:rPr>
        <w:t>　　　　　　　　　　　</w:t>
      </w:r>
    </w:p>
    <w:p w14:paraId="55F04B2A">
      <w:pPr>
        <w:spacing w:line="360" w:lineRule="auto"/>
        <w:rPr>
          <w:rFonts w:ascii="宋体" w:hAnsi="宋体" w:eastAsia="宋体" w:cs="宋体"/>
          <w:color w:val="auto"/>
          <w:szCs w:val="21"/>
        </w:rPr>
      </w:pPr>
      <w:r>
        <w:rPr>
          <w:rFonts w:hint="eastAsia" w:ascii="宋体" w:hAnsi="宋体" w:eastAsia="宋体" w:cs="宋体"/>
          <w:color w:val="auto"/>
          <w:szCs w:val="21"/>
        </w:rPr>
        <w:t> </w:t>
      </w:r>
    </w:p>
    <w:p w14:paraId="2727DFE6">
      <w:pPr>
        <w:pStyle w:val="32"/>
        <w:spacing w:beforeAutospacing="0" w:afterAutospacing="0" w:line="360" w:lineRule="auto"/>
        <w:ind w:right="840"/>
        <w:jc w:val="both"/>
        <w:rPr>
          <w:color w:val="auto"/>
        </w:rPr>
      </w:pPr>
      <w:r>
        <w:rPr>
          <w:rFonts w:hint="eastAsia" w:ascii="宋体" w:hAnsi="宋体" w:eastAsia="宋体" w:cs="宋体"/>
          <w:color w:val="auto"/>
          <w:sz w:val="21"/>
          <w:szCs w:val="21"/>
        </w:rPr>
        <w:br w:type="page" w:clear="all"/>
      </w:r>
    </w:p>
    <w:p w14:paraId="3CC6470B">
      <w:pPr>
        <w:pStyle w:val="32"/>
        <w:keepNext/>
        <w:keepLines/>
        <w:spacing w:before="260" w:beforeAutospacing="0" w:after="260" w:afterAutospacing="0" w:line="415" w:lineRule="auto"/>
        <w:ind w:firstLine="2429"/>
        <w:jc w:val="both"/>
        <w:outlineLvl w:val="0"/>
        <w:rPr>
          <w:color w:val="auto"/>
        </w:rPr>
      </w:pPr>
      <w:bookmarkStart w:id="39" w:name="_Toc120614211"/>
      <w:r>
        <w:rPr>
          <w:rFonts w:hint="eastAsia" w:ascii="黑体" w:hAnsi="宋体" w:eastAsia="黑体" w:cs="黑体"/>
          <w:b/>
          <w:color w:val="auto"/>
          <w:sz w:val="44"/>
          <w:szCs w:val="44"/>
        </w:rPr>
        <w:t xml:space="preserve">第二章  </w:t>
      </w:r>
      <w:bookmarkEnd w:id="39"/>
      <w:bookmarkStart w:id="40" w:name="_Toc20823274"/>
      <w:bookmarkStart w:id="41" w:name="_Toc120614213"/>
      <w:bookmarkStart w:id="42" w:name="_Toc513029202"/>
      <w:bookmarkStart w:id="43" w:name="_Toc16938518"/>
      <w:r>
        <w:rPr>
          <w:rFonts w:hint="eastAsia" w:ascii="黑体" w:hAnsi="宋体" w:eastAsia="黑体" w:cs="黑体"/>
          <w:b/>
          <w:color w:val="auto"/>
          <w:sz w:val="44"/>
          <w:szCs w:val="44"/>
        </w:rPr>
        <w:t>投标人须知</w:t>
      </w:r>
      <w:bookmarkEnd w:id="40"/>
      <w:bookmarkEnd w:id="41"/>
      <w:bookmarkEnd w:id="42"/>
      <w:bookmarkEnd w:id="43"/>
    </w:p>
    <w:p w14:paraId="523F4083">
      <w:pPr>
        <w:pStyle w:val="32"/>
        <w:spacing w:beforeAutospacing="0" w:afterAutospacing="0" w:line="360" w:lineRule="auto"/>
        <w:ind w:firstLine="480"/>
        <w:jc w:val="both"/>
        <w:rPr>
          <w:rFonts w:ascii="宋体" w:hAnsi="宋体" w:eastAsia="宋体" w:cs="宋体"/>
          <w:color w:val="auto"/>
          <w:sz w:val="21"/>
          <w:szCs w:val="21"/>
        </w:rPr>
      </w:pPr>
      <w:bookmarkStart w:id="44" w:name="_Toc120614214"/>
      <w:bookmarkStart w:id="45" w:name="_Toc513029203"/>
      <w:bookmarkStart w:id="46" w:name="_Toc20823275"/>
      <w:bookmarkStart w:id="47" w:name="_Toc16938519"/>
      <w:r>
        <w:rPr>
          <w:rFonts w:hint="eastAsia" w:ascii="宋体" w:hAnsi="宋体" w:eastAsia="宋体" w:cs="宋体"/>
          <w:b/>
          <w:color w:val="auto"/>
          <w:sz w:val="21"/>
          <w:szCs w:val="21"/>
        </w:rPr>
        <w:t>一、总则</w:t>
      </w:r>
      <w:bookmarkEnd w:id="44"/>
      <w:bookmarkEnd w:id="45"/>
      <w:bookmarkEnd w:id="46"/>
      <w:bookmarkEnd w:id="47"/>
    </w:p>
    <w:p w14:paraId="6FFD3B05">
      <w:pPr>
        <w:pStyle w:val="32"/>
        <w:spacing w:beforeAutospacing="0" w:afterAutospacing="0" w:line="360" w:lineRule="auto"/>
        <w:ind w:firstLine="480"/>
        <w:jc w:val="both"/>
        <w:rPr>
          <w:rFonts w:ascii="宋体" w:hAnsi="宋体" w:eastAsia="宋体" w:cs="宋体"/>
          <w:color w:val="auto"/>
          <w:sz w:val="21"/>
          <w:szCs w:val="21"/>
        </w:rPr>
      </w:pPr>
      <w:bookmarkStart w:id="48" w:name="_Toc16938520"/>
      <w:bookmarkStart w:id="49" w:name="_Toc513029204"/>
      <w:bookmarkStart w:id="50" w:name="_Toc20823276"/>
      <w:bookmarkStart w:id="51" w:name="_Toc458694821"/>
      <w:bookmarkStart w:id="52" w:name="_Hlt16619475"/>
      <w:r>
        <w:rPr>
          <w:rFonts w:hint="eastAsia" w:ascii="宋体" w:hAnsi="宋体" w:eastAsia="宋体" w:cs="宋体"/>
          <w:color w:val="auto"/>
          <w:sz w:val="21"/>
          <w:szCs w:val="21"/>
        </w:rPr>
        <w:t>1</w:t>
      </w:r>
      <w:bookmarkEnd w:id="48"/>
      <w:r>
        <w:rPr>
          <w:rFonts w:hint="eastAsia" w:ascii="宋体" w:hAnsi="宋体" w:eastAsia="宋体" w:cs="宋体"/>
          <w:color w:val="auto"/>
          <w:sz w:val="21"/>
          <w:szCs w:val="21"/>
        </w:rPr>
        <w:t>、招标方式</w:t>
      </w:r>
      <w:bookmarkEnd w:id="49"/>
      <w:bookmarkEnd w:id="50"/>
      <w:bookmarkEnd w:id="51"/>
    </w:p>
    <w:p w14:paraId="11959249">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1.1本次招标采取公开招标方式，本招标文件仅适用于招标公告中所述项目。</w:t>
      </w:r>
    </w:p>
    <w:p w14:paraId="22EB04CE">
      <w:pPr>
        <w:pStyle w:val="32"/>
        <w:spacing w:beforeAutospacing="0" w:afterAutospacing="0" w:line="360" w:lineRule="auto"/>
        <w:ind w:firstLine="480"/>
        <w:jc w:val="both"/>
        <w:rPr>
          <w:rFonts w:ascii="宋体" w:hAnsi="宋体" w:eastAsia="宋体" w:cs="宋体"/>
          <w:color w:val="auto"/>
          <w:sz w:val="21"/>
          <w:szCs w:val="21"/>
        </w:rPr>
      </w:pPr>
      <w:bookmarkStart w:id="53" w:name="_Toc16938521"/>
      <w:bookmarkStart w:id="54" w:name="_Toc513029205"/>
      <w:bookmarkStart w:id="55" w:name="_Toc20823277"/>
      <w:r>
        <w:rPr>
          <w:rFonts w:hint="eastAsia" w:ascii="宋体" w:hAnsi="宋体" w:eastAsia="宋体" w:cs="宋体"/>
          <w:color w:val="auto"/>
          <w:sz w:val="21"/>
          <w:szCs w:val="21"/>
        </w:rPr>
        <w:t>2、合格的投标人</w:t>
      </w:r>
      <w:bookmarkEnd w:id="53"/>
      <w:bookmarkEnd w:id="54"/>
      <w:bookmarkEnd w:id="55"/>
    </w:p>
    <w:p w14:paraId="0AA8164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2.1满足招标公告中供应商的资格要求的规定。</w:t>
      </w:r>
    </w:p>
    <w:p w14:paraId="0E108B32">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2.2满足本文件实质性要求和条件的规定。</w:t>
      </w:r>
    </w:p>
    <w:p w14:paraId="06F85FF8">
      <w:pPr>
        <w:pStyle w:val="32"/>
        <w:spacing w:beforeAutospacing="0" w:afterAutospacing="0" w:line="360" w:lineRule="auto"/>
        <w:ind w:firstLine="480"/>
        <w:jc w:val="both"/>
        <w:rPr>
          <w:rFonts w:ascii="宋体" w:hAnsi="宋体" w:eastAsia="宋体" w:cs="宋体"/>
          <w:color w:val="auto"/>
          <w:sz w:val="21"/>
          <w:szCs w:val="21"/>
        </w:rPr>
      </w:pPr>
      <w:bookmarkStart w:id="56" w:name="_Toc16938522"/>
      <w:bookmarkStart w:id="57" w:name="_Toc20823278"/>
      <w:bookmarkStart w:id="58" w:name="_Toc513029206"/>
      <w:r>
        <w:rPr>
          <w:rFonts w:hint="eastAsia" w:ascii="宋体" w:hAnsi="宋体" w:eastAsia="宋体" w:cs="宋体"/>
          <w:color w:val="auto"/>
          <w:sz w:val="21"/>
          <w:szCs w:val="21"/>
        </w:rPr>
        <w:t>3、适用法律</w:t>
      </w:r>
      <w:bookmarkEnd w:id="56"/>
      <w:bookmarkEnd w:id="57"/>
      <w:bookmarkEnd w:id="58"/>
    </w:p>
    <w:p w14:paraId="5CACBC1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3.1本次招标及由此产生的合同受中华人民共和国有关的法律法规制约和保护。</w:t>
      </w:r>
    </w:p>
    <w:p w14:paraId="4373A08A">
      <w:pPr>
        <w:pStyle w:val="32"/>
        <w:spacing w:beforeAutospacing="0" w:afterAutospacing="0" w:line="360" w:lineRule="auto"/>
        <w:ind w:firstLine="480"/>
        <w:jc w:val="both"/>
        <w:rPr>
          <w:rFonts w:ascii="宋体" w:hAnsi="宋体" w:eastAsia="宋体" w:cs="宋体"/>
          <w:color w:val="auto"/>
          <w:sz w:val="21"/>
          <w:szCs w:val="21"/>
        </w:rPr>
      </w:pPr>
      <w:bookmarkStart w:id="59" w:name="_Toc513029207"/>
      <w:bookmarkStart w:id="60" w:name="_Toc16938523"/>
      <w:bookmarkStart w:id="61" w:name="_Toc20823279"/>
      <w:bookmarkStart w:id="62" w:name="_Toc462564067"/>
      <w:r>
        <w:rPr>
          <w:rFonts w:hint="eastAsia" w:ascii="宋体" w:hAnsi="宋体" w:eastAsia="宋体" w:cs="宋体"/>
          <w:color w:val="auto"/>
          <w:sz w:val="21"/>
          <w:szCs w:val="21"/>
        </w:rPr>
        <w:t>4、投标费用</w:t>
      </w:r>
      <w:bookmarkEnd w:id="59"/>
      <w:bookmarkEnd w:id="60"/>
      <w:bookmarkEnd w:id="61"/>
      <w:bookmarkEnd w:id="62"/>
    </w:p>
    <w:p w14:paraId="70FDE0E0">
      <w:pPr>
        <w:pStyle w:val="32"/>
        <w:spacing w:beforeAutospacing="0" w:afterAutospacing="0" w:line="360" w:lineRule="auto"/>
        <w:ind w:firstLine="420"/>
        <w:jc w:val="both"/>
        <w:rPr>
          <w:rFonts w:ascii="宋体" w:hAnsi="宋体" w:eastAsia="宋体" w:cs="宋体"/>
          <w:color w:val="auto"/>
          <w:sz w:val="21"/>
          <w:szCs w:val="21"/>
        </w:rPr>
      </w:pPr>
      <w:r>
        <w:rPr>
          <w:rFonts w:hint="eastAsia" w:ascii="宋体" w:hAnsi="宋体" w:eastAsia="宋体" w:cs="宋体"/>
          <w:color w:val="auto"/>
          <w:sz w:val="21"/>
          <w:szCs w:val="21"/>
        </w:rPr>
        <w:t>4.1投标人应自行承担所有与参加投标有关的费用，无论投标过程中的做法和结果如何，采购人和采购代理机构在任何情况下均无义务和责任承担这些费用。</w:t>
      </w:r>
    </w:p>
    <w:p w14:paraId="01A7B82E">
      <w:pPr>
        <w:pStyle w:val="32"/>
        <w:spacing w:beforeAutospacing="0" w:afterAutospacing="0" w:line="360" w:lineRule="auto"/>
        <w:ind w:firstLine="420"/>
        <w:jc w:val="both"/>
        <w:rPr>
          <w:rFonts w:ascii="宋体" w:hAnsi="宋体" w:eastAsia="宋体" w:cs="宋体"/>
          <w:color w:val="auto"/>
          <w:sz w:val="21"/>
          <w:szCs w:val="21"/>
        </w:rPr>
      </w:pPr>
      <w:r>
        <w:rPr>
          <w:rFonts w:hint="eastAsia" w:ascii="宋体" w:hAnsi="宋体" w:eastAsia="宋体" w:cs="宋体"/>
          <w:color w:val="auto"/>
          <w:sz w:val="21"/>
          <w:szCs w:val="21"/>
        </w:rPr>
        <w:t>4.2本次招标采购人和采购代理机构不收取标书工本费。</w:t>
      </w:r>
    </w:p>
    <w:p w14:paraId="752771C7">
      <w:pPr>
        <w:pStyle w:val="32"/>
        <w:spacing w:beforeAutospacing="0" w:afterAutospacing="0" w:line="360" w:lineRule="auto"/>
        <w:ind w:firstLine="420"/>
        <w:jc w:val="both"/>
        <w:rPr>
          <w:rFonts w:ascii="宋体" w:hAnsi="宋体" w:eastAsia="宋体" w:cs="宋体"/>
          <w:color w:val="auto"/>
          <w:sz w:val="21"/>
          <w:szCs w:val="21"/>
        </w:rPr>
      </w:pPr>
      <w:r>
        <w:rPr>
          <w:rFonts w:hint="eastAsia" w:ascii="宋体" w:hAnsi="宋体" w:eastAsia="宋体" w:cs="宋体"/>
          <w:color w:val="auto"/>
          <w:sz w:val="21"/>
          <w:szCs w:val="21"/>
        </w:rPr>
        <w:t>4.3本项目代理服务费由项目中标单位支付，在领取中标通知书时支付。</w:t>
      </w:r>
    </w:p>
    <w:p w14:paraId="692A057C">
      <w:pPr>
        <w:pStyle w:val="32"/>
        <w:spacing w:beforeAutospacing="0" w:afterAutospacing="0" w:line="360" w:lineRule="auto"/>
        <w:ind w:firstLine="420"/>
        <w:jc w:val="both"/>
        <w:rPr>
          <w:rFonts w:ascii="宋体" w:hAnsi="宋体" w:eastAsia="宋体" w:cs="宋体"/>
          <w:color w:val="auto"/>
          <w:sz w:val="21"/>
          <w:szCs w:val="21"/>
        </w:rPr>
      </w:pPr>
      <w:r>
        <w:rPr>
          <w:rFonts w:hint="eastAsia" w:ascii="宋体" w:hAnsi="宋体" w:eastAsia="宋体" w:cs="宋体"/>
          <w:color w:val="auto"/>
          <w:sz w:val="21"/>
          <w:szCs w:val="21"/>
        </w:rPr>
        <w:t>4.4代理服务费收费标准：为方便计算，代理服务费参照《江苏省政府采购代理服务收费指导意见》的通知（苏政采协【2024】20号）收费标准的</w:t>
      </w:r>
      <w:r>
        <w:rPr>
          <w:rFonts w:hint="eastAsia" w:ascii="宋体" w:hAnsi="宋体" w:eastAsia="宋体" w:cs="宋体"/>
          <w:color w:val="auto"/>
          <w:sz w:val="21"/>
          <w:szCs w:val="21"/>
          <w:u w:val="single"/>
        </w:rPr>
        <w:t>43.5</w:t>
      </w:r>
      <w:r>
        <w:rPr>
          <w:rFonts w:hint="eastAsia" w:ascii="宋体" w:hAnsi="宋体" w:eastAsia="宋体" w:cs="宋体"/>
          <w:color w:val="auto"/>
          <w:sz w:val="21"/>
          <w:szCs w:val="21"/>
        </w:rPr>
        <w:t xml:space="preserve"> %计取（说明：如低于3000元的，按3000元计取）。</w:t>
      </w:r>
    </w:p>
    <w:p w14:paraId="66DE60A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5、招标文件的约束力</w:t>
      </w:r>
    </w:p>
    <w:p w14:paraId="135161F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5.1投标人一旦参加本项目采购活动，即被认为接受了本招标文件的规定和约束。</w:t>
      </w:r>
    </w:p>
    <w:p w14:paraId="1B2FBDB1">
      <w:pPr>
        <w:pStyle w:val="32"/>
        <w:spacing w:beforeAutospacing="0" w:afterAutospacing="0" w:line="360" w:lineRule="auto"/>
        <w:ind w:firstLine="480"/>
        <w:jc w:val="both"/>
        <w:rPr>
          <w:rFonts w:ascii="宋体" w:hAnsi="宋体" w:eastAsia="宋体" w:cs="宋体"/>
          <w:color w:val="auto"/>
          <w:sz w:val="21"/>
          <w:szCs w:val="21"/>
        </w:rPr>
      </w:pPr>
      <w:bookmarkStart w:id="63" w:name="_Toc16938525"/>
      <w:bookmarkStart w:id="64" w:name="_Toc20823281"/>
      <w:bookmarkStart w:id="65" w:name="_Toc120614215"/>
      <w:bookmarkStart w:id="66" w:name="_Toc513029209"/>
      <w:r>
        <w:rPr>
          <w:rFonts w:hint="eastAsia" w:ascii="宋体" w:hAnsi="宋体" w:eastAsia="宋体" w:cs="宋体"/>
          <w:b/>
          <w:color w:val="auto"/>
          <w:sz w:val="21"/>
          <w:szCs w:val="21"/>
        </w:rPr>
        <w:t>二、招标文件</w:t>
      </w:r>
      <w:bookmarkEnd w:id="63"/>
      <w:bookmarkEnd w:id="64"/>
      <w:bookmarkEnd w:id="65"/>
      <w:bookmarkEnd w:id="66"/>
    </w:p>
    <w:p w14:paraId="4F91B120">
      <w:pPr>
        <w:pStyle w:val="32"/>
        <w:spacing w:beforeAutospacing="0" w:afterAutospacing="0" w:line="360" w:lineRule="auto"/>
        <w:ind w:firstLine="480"/>
        <w:jc w:val="both"/>
        <w:rPr>
          <w:rFonts w:ascii="宋体" w:hAnsi="宋体" w:eastAsia="宋体" w:cs="宋体"/>
          <w:color w:val="auto"/>
          <w:sz w:val="21"/>
          <w:szCs w:val="21"/>
        </w:rPr>
      </w:pPr>
      <w:bookmarkStart w:id="67" w:name="_Toc513029210"/>
      <w:bookmarkStart w:id="68" w:name="_Toc16938526"/>
      <w:bookmarkStart w:id="69" w:name="_Toc20823282"/>
      <w:r>
        <w:rPr>
          <w:rFonts w:hint="eastAsia" w:ascii="宋体" w:hAnsi="宋体" w:eastAsia="宋体" w:cs="宋体"/>
          <w:color w:val="auto"/>
          <w:sz w:val="21"/>
          <w:szCs w:val="21"/>
        </w:rPr>
        <w:t>6、招标文件构成</w:t>
      </w:r>
      <w:bookmarkEnd w:id="67"/>
      <w:bookmarkEnd w:id="68"/>
      <w:bookmarkEnd w:id="69"/>
    </w:p>
    <w:p w14:paraId="0200A1C1">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6.1 招标文件由以下部分组成：</w:t>
      </w:r>
    </w:p>
    <w:p w14:paraId="1D7D041B">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（1）招标公告</w:t>
      </w:r>
    </w:p>
    <w:p w14:paraId="63774FBF">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（2）投标人须知</w:t>
      </w:r>
    </w:p>
    <w:p w14:paraId="1C9FE75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（3）合同文本</w:t>
      </w:r>
    </w:p>
    <w:p w14:paraId="56AB8292">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（4）采购需求</w:t>
      </w:r>
    </w:p>
    <w:p w14:paraId="759A8C87">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（5）评标方法与评标标准</w:t>
      </w:r>
    </w:p>
    <w:p w14:paraId="66405AE4">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（6）投标文件格式</w:t>
      </w:r>
    </w:p>
    <w:p w14:paraId="38FA7FEB">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请仔细检查招标文件是否齐全，如有缺漏请立即与代理机构联系解决。</w:t>
      </w:r>
    </w:p>
    <w:p w14:paraId="2BAF0F41">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ACB40D7">
      <w:pPr>
        <w:pStyle w:val="32"/>
        <w:spacing w:beforeAutospacing="0" w:afterAutospacing="0" w:line="360" w:lineRule="auto"/>
        <w:ind w:firstLine="480"/>
        <w:jc w:val="both"/>
        <w:rPr>
          <w:rFonts w:ascii="宋体" w:hAnsi="宋体" w:eastAsia="宋体" w:cs="宋体"/>
          <w:color w:val="auto"/>
          <w:sz w:val="21"/>
          <w:szCs w:val="21"/>
        </w:rPr>
      </w:pPr>
      <w:bookmarkStart w:id="70" w:name="_Toc16938527"/>
      <w:bookmarkStart w:id="71" w:name="_Toc462564070"/>
      <w:bookmarkStart w:id="72" w:name="_Toc513029211"/>
      <w:bookmarkStart w:id="73" w:name="_Toc20823283"/>
      <w:r>
        <w:rPr>
          <w:rFonts w:hint="eastAsia" w:ascii="宋体" w:hAnsi="宋体" w:eastAsia="宋体" w:cs="宋体"/>
          <w:color w:val="auto"/>
          <w:sz w:val="21"/>
          <w:szCs w:val="21"/>
        </w:rPr>
        <w:t>7、招标文件的澄清</w:t>
      </w:r>
      <w:bookmarkEnd w:id="70"/>
      <w:bookmarkEnd w:id="71"/>
      <w:bookmarkEnd w:id="72"/>
      <w:bookmarkEnd w:id="73"/>
    </w:p>
    <w:p w14:paraId="2BCD643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7.1任何要求对招标文件进行澄清的投标人，应在投标截止期</w:t>
      </w:r>
      <w:r>
        <w:rPr>
          <w:rFonts w:hint="eastAsia" w:ascii="宋体" w:hAnsi="宋体" w:eastAsia="宋体" w:cs="宋体"/>
          <w:b/>
          <w:color w:val="auto"/>
          <w:sz w:val="21"/>
          <w:szCs w:val="21"/>
        </w:rPr>
        <w:t>十日</w:t>
      </w:r>
      <w:r>
        <w:rPr>
          <w:rFonts w:hint="eastAsia" w:ascii="宋体" w:hAnsi="宋体" w:eastAsia="宋体" w:cs="宋体"/>
          <w:color w:val="auto"/>
          <w:sz w:val="21"/>
          <w:szCs w:val="21"/>
        </w:rPr>
        <w:t>前按招标公告中的通讯地址，以书面形式通知代理机构。</w:t>
      </w:r>
    </w:p>
    <w:p w14:paraId="21DF731A">
      <w:pPr>
        <w:pStyle w:val="32"/>
        <w:spacing w:beforeAutospacing="0" w:afterAutospacing="0" w:line="360" w:lineRule="auto"/>
        <w:ind w:firstLine="480"/>
        <w:jc w:val="both"/>
        <w:rPr>
          <w:rFonts w:ascii="宋体" w:hAnsi="宋体" w:eastAsia="宋体" w:cs="宋体"/>
          <w:color w:val="auto"/>
          <w:sz w:val="21"/>
          <w:szCs w:val="21"/>
        </w:rPr>
      </w:pPr>
      <w:bookmarkStart w:id="74" w:name="_Toc462564071"/>
      <w:bookmarkStart w:id="75" w:name="_Toc513029212"/>
      <w:bookmarkStart w:id="76" w:name="_Toc20823284"/>
      <w:bookmarkStart w:id="77" w:name="_Toc16938528"/>
      <w:r>
        <w:rPr>
          <w:rFonts w:hint="eastAsia" w:ascii="宋体" w:hAnsi="宋体" w:eastAsia="宋体" w:cs="宋体"/>
          <w:color w:val="auto"/>
          <w:sz w:val="21"/>
          <w:szCs w:val="21"/>
        </w:rPr>
        <w:t>8、招标文件的修改</w:t>
      </w:r>
      <w:bookmarkEnd w:id="74"/>
      <w:bookmarkEnd w:id="75"/>
      <w:bookmarkEnd w:id="76"/>
      <w:bookmarkEnd w:id="77"/>
    </w:p>
    <w:p w14:paraId="063010D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8.1在投标截止时间前，代理机构可以对招标文件进行修改。</w:t>
      </w:r>
    </w:p>
    <w:p w14:paraId="72E922F6">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8.2代理机构有权按照法定的要求推迟投标截止日期和开标日期。</w:t>
      </w:r>
    </w:p>
    <w:p w14:paraId="051D7E54">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8.3招标文件的修改将在中国政府采购网</w:t>
      </w:r>
      <w:r>
        <w:rPr>
          <w:rFonts w:hint="eastAsia" w:ascii="宋体" w:hAnsi="宋体" w:eastAsia="宋体" w:cs="宋体"/>
          <w:color w:val="auto"/>
          <w:sz w:val="21"/>
          <w:szCs w:val="21"/>
          <w:shd w:val="clear" w:color="auto" w:fill="FFFFFF"/>
        </w:rPr>
        <w:t>、</w:t>
      </w:r>
      <w:r>
        <w:rPr>
          <w:rFonts w:hint="eastAsia" w:ascii="宋体" w:hAnsi="宋体" w:eastAsia="宋体" w:cs="宋体"/>
          <w:color w:val="auto"/>
          <w:sz w:val="21"/>
          <w:szCs w:val="21"/>
        </w:rPr>
        <w:t>江苏政府采购网、盐城市政府采购网公布，补充文件将作为招标文件的组成部分，并对投标人具有约束力。</w:t>
      </w:r>
    </w:p>
    <w:p w14:paraId="51DAEB56">
      <w:pPr>
        <w:pStyle w:val="32"/>
        <w:spacing w:beforeAutospacing="0" w:afterAutospacing="0" w:line="360" w:lineRule="auto"/>
        <w:ind w:firstLine="480"/>
        <w:jc w:val="both"/>
        <w:rPr>
          <w:rFonts w:ascii="宋体" w:hAnsi="宋体" w:eastAsia="宋体" w:cs="宋体"/>
          <w:color w:val="auto"/>
          <w:sz w:val="21"/>
          <w:szCs w:val="21"/>
        </w:rPr>
      </w:pPr>
      <w:bookmarkStart w:id="78" w:name="_Toc20823285"/>
      <w:bookmarkStart w:id="79" w:name="_Toc513029213"/>
      <w:bookmarkStart w:id="80" w:name="_Toc120614216"/>
      <w:bookmarkStart w:id="81" w:name="_Toc462564072"/>
      <w:bookmarkStart w:id="82" w:name="_Toc16938529"/>
      <w:r>
        <w:rPr>
          <w:rFonts w:hint="eastAsia" w:ascii="宋体" w:hAnsi="宋体" w:eastAsia="宋体" w:cs="宋体"/>
          <w:b/>
          <w:color w:val="auto"/>
          <w:sz w:val="21"/>
          <w:szCs w:val="21"/>
        </w:rPr>
        <w:t>三、投标文件的编制</w:t>
      </w:r>
      <w:bookmarkEnd w:id="78"/>
      <w:bookmarkEnd w:id="79"/>
      <w:bookmarkEnd w:id="80"/>
      <w:bookmarkEnd w:id="81"/>
      <w:bookmarkEnd w:id="82"/>
    </w:p>
    <w:p w14:paraId="1A8DD59C">
      <w:pPr>
        <w:pStyle w:val="32"/>
        <w:spacing w:beforeAutospacing="0" w:afterAutospacing="0" w:line="360" w:lineRule="auto"/>
        <w:ind w:firstLine="480"/>
        <w:jc w:val="both"/>
        <w:rPr>
          <w:rFonts w:ascii="宋体" w:hAnsi="宋体" w:eastAsia="宋体" w:cs="宋体"/>
          <w:color w:val="auto"/>
          <w:sz w:val="21"/>
          <w:szCs w:val="21"/>
        </w:rPr>
      </w:pPr>
      <w:bookmarkStart w:id="83" w:name="_Toc20823286"/>
      <w:bookmarkStart w:id="84" w:name="_Toc16938530"/>
      <w:bookmarkStart w:id="85" w:name="_Toc462564073"/>
      <w:bookmarkStart w:id="86" w:name="_Toc513029214"/>
      <w:r>
        <w:rPr>
          <w:rFonts w:hint="eastAsia" w:ascii="宋体" w:hAnsi="宋体" w:eastAsia="宋体" w:cs="宋体"/>
          <w:color w:val="auto"/>
          <w:sz w:val="21"/>
          <w:szCs w:val="21"/>
        </w:rPr>
        <w:t>9、投标文件的语言及度量衡单位</w:t>
      </w:r>
      <w:bookmarkEnd w:id="83"/>
      <w:bookmarkEnd w:id="84"/>
      <w:bookmarkEnd w:id="85"/>
      <w:bookmarkEnd w:id="86"/>
    </w:p>
    <w:p w14:paraId="1B0D2B3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9.1投标人提交的投标文件以及投标人与代理机构就有关投标的所有来往通知、函件和文件均应使用</w:t>
      </w:r>
      <w:r>
        <w:rPr>
          <w:rFonts w:hint="eastAsia" w:ascii="宋体" w:hAnsi="宋体" w:eastAsia="宋体" w:cs="宋体"/>
          <w:b/>
          <w:color w:val="auto"/>
          <w:sz w:val="21"/>
          <w:szCs w:val="21"/>
        </w:rPr>
        <w:t>简体中文</w:t>
      </w:r>
      <w:r>
        <w:rPr>
          <w:rFonts w:hint="eastAsia" w:ascii="宋体" w:hAnsi="宋体" w:eastAsia="宋体" w:cs="宋体"/>
          <w:color w:val="auto"/>
          <w:sz w:val="21"/>
          <w:szCs w:val="21"/>
        </w:rPr>
        <w:t>。</w:t>
      </w:r>
    </w:p>
    <w:p w14:paraId="5B72DE8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9.2除技术性能另有规定外，投标文件所使用的度量衡单位，均须采用国家法定计量单位。</w:t>
      </w:r>
    </w:p>
    <w:p w14:paraId="17F98614">
      <w:pPr>
        <w:pStyle w:val="32"/>
        <w:spacing w:beforeAutospacing="0" w:afterAutospacing="0" w:line="360" w:lineRule="auto"/>
        <w:ind w:firstLine="480"/>
        <w:jc w:val="both"/>
        <w:rPr>
          <w:rFonts w:ascii="宋体" w:hAnsi="宋体" w:eastAsia="宋体" w:cs="宋体"/>
          <w:color w:val="auto"/>
          <w:sz w:val="21"/>
          <w:szCs w:val="21"/>
        </w:rPr>
      </w:pPr>
      <w:bookmarkStart w:id="87" w:name="_Toc513029215"/>
      <w:bookmarkStart w:id="88" w:name="_Toc462564074"/>
      <w:bookmarkStart w:id="89" w:name="_Toc20823287"/>
      <w:bookmarkStart w:id="90" w:name="_Toc16938531"/>
      <w:r>
        <w:rPr>
          <w:rFonts w:hint="eastAsia" w:ascii="宋体" w:hAnsi="宋体" w:eastAsia="宋体" w:cs="宋体"/>
          <w:color w:val="auto"/>
          <w:sz w:val="21"/>
          <w:szCs w:val="21"/>
        </w:rPr>
        <w:t>10、投标文件构成</w:t>
      </w:r>
      <w:bookmarkEnd w:id="87"/>
      <w:bookmarkEnd w:id="88"/>
      <w:bookmarkEnd w:id="89"/>
      <w:bookmarkEnd w:id="90"/>
    </w:p>
    <w:p w14:paraId="1720CB4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10.1投标人编写的投标文件应包括资格证明文件、符合性证明文件、投标分项报价表、技术要求响应及偏离表、商务要求响应及偏离表、其他证明文件、投标函、开标一览表等部分。</w:t>
      </w:r>
    </w:p>
    <w:p w14:paraId="01755C19">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10.2如标书制作工具中格式和内容与</w:t>
      </w:r>
      <w:r>
        <w:rPr>
          <w:rFonts w:hint="eastAsia" w:ascii="宋体" w:hAnsi="宋体" w:eastAsia="宋体" w:cs="宋体"/>
          <w:color w:val="auto"/>
          <w:sz w:val="21"/>
          <w:szCs w:val="21"/>
          <w:shd w:val="clear" w:color="auto" w:fill="FFFFFF"/>
        </w:rPr>
        <w:t>“</w:t>
      </w:r>
      <w:r>
        <w:rPr>
          <w:rFonts w:hint="eastAsia" w:ascii="宋体" w:hAnsi="宋体" w:eastAsia="宋体" w:cs="宋体"/>
          <w:color w:val="auto"/>
          <w:sz w:val="21"/>
          <w:szCs w:val="21"/>
        </w:rPr>
        <w:t>中国政府采购网”“江苏政府采购网”“盐城市政府采购网”发布的招标文件不一致，请以</w:t>
      </w:r>
      <w:r>
        <w:rPr>
          <w:rFonts w:hint="eastAsia" w:ascii="宋体" w:hAnsi="宋体" w:eastAsia="宋体" w:cs="宋体"/>
          <w:color w:val="auto"/>
          <w:sz w:val="21"/>
          <w:szCs w:val="21"/>
          <w:shd w:val="clear" w:color="auto" w:fill="FFFFFF"/>
        </w:rPr>
        <w:t>“</w:t>
      </w:r>
      <w:r>
        <w:rPr>
          <w:rFonts w:hint="eastAsia" w:ascii="宋体" w:hAnsi="宋体" w:eastAsia="宋体" w:cs="宋体"/>
          <w:color w:val="auto"/>
          <w:sz w:val="21"/>
          <w:szCs w:val="21"/>
        </w:rPr>
        <w:t>中国政府采购网”“江苏政府采购网”“盐城市政府采购网”发布的招标文件为准。</w:t>
      </w:r>
    </w:p>
    <w:p w14:paraId="727838E6">
      <w:pPr>
        <w:pStyle w:val="32"/>
        <w:spacing w:beforeAutospacing="0" w:afterAutospacing="0" w:line="360" w:lineRule="auto"/>
        <w:ind w:firstLine="480"/>
        <w:jc w:val="both"/>
        <w:rPr>
          <w:rFonts w:ascii="宋体" w:hAnsi="宋体" w:eastAsia="宋体" w:cs="宋体"/>
          <w:color w:val="auto"/>
          <w:sz w:val="21"/>
          <w:szCs w:val="21"/>
        </w:rPr>
      </w:pPr>
      <w:bookmarkStart w:id="91" w:name="_Toc513029219"/>
      <w:bookmarkStart w:id="92" w:name="_Toc513029216"/>
      <w:bookmarkStart w:id="93" w:name="_Toc14577354"/>
      <w:bookmarkStart w:id="94" w:name="_Toc49090509"/>
      <w:bookmarkStart w:id="95" w:name="_Toc14577357"/>
      <w:bookmarkStart w:id="96" w:name="_Toc49090507"/>
      <w:bookmarkStart w:id="97" w:name="_Hlt26670360"/>
      <w:bookmarkStart w:id="98" w:name="_Hlt26668975"/>
      <w:bookmarkStart w:id="99" w:name="_Hlt26954838"/>
      <w:r>
        <w:rPr>
          <w:rFonts w:hint="eastAsia" w:ascii="宋体" w:hAnsi="宋体" w:eastAsia="宋体" w:cs="宋体"/>
          <w:color w:val="auto"/>
          <w:sz w:val="21"/>
          <w:szCs w:val="21"/>
        </w:rPr>
        <w:t>11、证明投标人及投标标的符合招标文件规定的文件</w:t>
      </w:r>
      <w:bookmarkEnd w:id="91"/>
      <w:bookmarkEnd w:id="92"/>
      <w:bookmarkEnd w:id="93"/>
      <w:bookmarkEnd w:id="94"/>
      <w:bookmarkEnd w:id="95"/>
      <w:bookmarkEnd w:id="96"/>
    </w:p>
    <w:p w14:paraId="5ECDD2F7">
      <w:pPr>
        <w:pStyle w:val="32"/>
        <w:spacing w:beforeAutospacing="0" w:afterAutospacing="0" w:line="360" w:lineRule="auto"/>
        <w:ind w:firstLine="480"/>
        <w:jc w:val="both"/>
        <w:rPr>
          <w:rFonts w:ascii="宋体" w:hAnsi="宋体" w:eastAsia="宋体" w:cs="宋体"/>
          <w:color w:val="auto"/>
          <w:sz w:val="21"/>
          <w:szCs w:val="21"/>
        </w:rPr>
      </w:pPr>
      <w:bookmarkStart w:id="100" w:name="_Toc14577355"/>
      <w:bookmarkStart w:id="101" w:name="_Toc49090508"/>
      <w:r>
        <w:rPr>
          <w:rFonts w:hint="eastAsia" w:ascii="宋体" w:hAnsi="宋体" w:eastAsia="宋体" w:cs="宋体"/>
          <w:color w:val="auto"/>
          <w:sz w:val="21"/>
          <w:szCs w:val="21"/>
        </w:rPr>
        <w:t>11.1投标人应按照法律、法规、规章和规范性文件以及招标文件要求提交证明文件，证明其及投标标的符合招标文件规定。</w:t>
      </w:r>
      <w:bookmarkEnd w:id="100"/>
      <w:bookmarkEnd w:id="101"/>
    </w:p>
    <w:p w14:paraId="651F7E1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11.2招标文件对证明文件无明确形式要求的，证明文件可以以文字资料、图纸和数据等形式提交。</w:t>
      </w:r>
    </w:p>
    <w:p w14:paraId="4E52C754">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12、投标分项报价</w:t>
      </w:r>
      <w:bookmarkStart w:id="102" w:name="_Hlt26670373"/>
      <w:r>
        <w:rPr>
          <w:rFonts w:hint="eastAsia" w:ascii="宋体" w:hAnsi="宋体" w:eastAsia="宋体" w:cs="宋体"/>
          <w:color w:val="auto"/>
          <w:sz w:val="21"/>
          <w:szCs w:val="21"/>
        </w:rPr>
        <w:t>表</w:t>
      </w:r>
    </w:p>
    <w:p w14:paraId="0B721671">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12.1投</w:t>
      </w:r>
      <w:bookmarkStart w:id="103" w:name="_Hlt26954840"/>
      <w:r>
        <w:rPr>
          <w:rFonts w:hint="eastAsia" w:ascii="宋体" w:hAnsi="宋体" w:eastAsia="宋体" w:cs="宋体"/>
          <w:color w:val="auto"/>
          <w:sz w:val="21"/>
          <w:szCs w:val="21"/>
        </w:rPr>
        <w:t>标人应按照招标文件规定格式填报投标分项报价表</w:t>
      </w:r>
      <w:bookmarkStart w:id="104" w:name="_Hlt26670399"/>
      <w:r>
        <w:rPr>
          <w:rFonts w:hint="eastAsia" w:ascii="宋体" w:hAnsi="宋体" w:eastAsia="宋体" w:cs="宋体"/>
          <w:color w:val="auto"/>
          <w:sz w:val="21"/>
          <w:szCs w:val="21"/>
        </w:rPr>
        <w:t>。</w:t>
      </w:r>
    </w:p>
    <w:p w14:paraId="7967D15E">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12.2投标货币。投标文件中的单价和总价无特殊规定的采用人民币报价，以元为单位标注。招标文件中另有规定的按规定执行。</w:t>
      </w:r>
    </w:p>
    <w:p w14:paraId="2EAA4FAA">
      <w:pPr>
        <w:pStyle w:val="32"/>
        <w:spacing w:beforeAutospacing="0" w:afterAutospacing="0" w:line="360" w:lineRule="auto"/>
        <w:ind w:firstLine="480"/>
        <w:jc w:val="both"/>
        <w:rPr>
          <w:rFonts w:ascii="宋体" w:hAnsi="宋体" w:eastAsia="宋体" w:cs="宋体"/>
          <w:color w:val="auto"/>
          <w:sz w:val="21"/>
          <w:szCs w:val="21"/>
        </w:rPr>
      </w:pPr>
      <w:bookmarkStart w:id="105" w:name="_Hlt26670425"/>
      <w:bookmarkStart w:id="106" w:name="_Hlt26954731"/>
      <w:bookmarkStart w:id="107" w:name="_Hlt26954848"/>
      <w:bookmarkStart w:id="108" w:name="_Hlt26670482"/>
      <w:bookmarkStart w:id="109" w:name="_Hlt26670403"/>
      <w:bookmarkStart w:id="110" w:name="_Hlt26668983"/>
      <w:bookmarkStart w:id="111" w:name="_Hlt26954844"/>
      <w:bookmarkStart w:id="112" w:name="_Hlt26954846"/>
      <w:bookmarkStart w:id="113" w:name="_Hlt26954842"/>
      <w:bookmarkStart w:id="114" w:name="_Hlt26670486"/>
      <w:r>
        <w:rPr>
          <w:rFonts w:hint="eastAsia" w:ascii="宋体" w:hAnsi="宋体" w:eastAsia="宋体" w:cs="宋体"/>
          <w:color w:val="auto"/>
          <w:sz w:val="21"/>
          <w:szCs w:val="21"/>
        </w:rPr>
        <w:t>13、技术要求响应及偏离表、商务要求响应及偏离表</w:t>
      </w:r>
    </w:p>
    <w:p w14:paraId="4D18D5C2">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13.1投标人需对招标文件中的技术要求与商务要求逐项作出响应或偏离，并说明原因。</w:t>
      </w:r>
    </w:p>
    <w:p w14:paraId="38D043F6">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13.2投标人可在投标文件中提供认为需要的其他技术文件或说明。</w:t>
      </w:r>
    </w:p>
    <w:p w14:paraId="236EE57C">
      <w:pPr>
        <w:pStyle w:val="32"/>
        <w:spacing w:beforeAutospacing="0" w:afterAutospacing="0" w:line="360" w:lineRule="auto"/>
        <w:ind w:firstLine="480"/>
        <w:jc w:val="both"/>
        <w:rPr>
          <w:rFonts w:ascii="宋体" w:hAnsi="宋体" w:eastAsia="宋体" w:cs="宋体"/>
          <w:color w:val="auto"/>
          <w:sz w:val="21"/>
          <w:szCs w:val="21"/>
        </w:rPr>
      </w:pPr>
      <w:bookmarkStart w:id="115" w:name="_Toc14577359"/>
      <w:bookmarkStart w:id="116" w:name="_Toc49090510"/>
      <w:r>
        <w:rPr>
          <w:rFonts w:hint="eastAsia" w:ascii="宋体" w:hAnsi="宋体" w:eastAsia="宋体" w:cs="宋体"/>
          <w:color w:val="auto"/>
          <w:sz w:val="21"/>
          <w:szCs w:val="21"/>
        </w:rPr>
        <w:t>14、投标函和开标一览表</w:t>
      </w:r>
      <w:bookmarkEnd w:id="115"/>
      <w:bookmarkEnd w:id="116"/>
    </w:p>
    <w:p w14:paraId="1A69FF14">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14.1投标人应按照招标文件中提供的格式完整、正确填写投标函、开标一览表。</w:t>
      </w:r>
    </w:p>
    <w:p w14:paraId="68C08115">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1"/>
          <w:szCs w:val="21"/>
        </w:rPr>
        <w:t>。</w:t>
      </w:r>
    </w:p>
    <w:p w14:paraId="40306B59">
      <w:pPr>
        <w:pStyle w:val="32"/>
        <w:spacing w:beforeAutospacing="0" w:afterAutospacing="0" w:line="360" w:lineRule="auto"/>
        <w:ind w:firstLine="480"/>
        <w:jc w:val="both"/>
        <w:rPr>
          <w:rFonts w:ascii="宋体" w:hAnsi="宋体" w:eastAsia="宋体" w:cs="宋体"/>
          <w:color w:val="auto"/>
          <w:sz w:val="21"/>
          <w:szCs w:val="21"/>
        </w:rPr>
      </w:pPr>
      <w:bookmarkStart w:id="117" w:name="_Toc14577360"/>
      <w:bookmarkStart w:id="118" w:name="_Toc49090511"/>
      <w:bookmarkStart w:id="119" w:name="_Hlt26670489"/>
      <w:bookmarkStart w:id="120" w:name="_Hlt26954734"/>
      <w:bookmarkStart w:id="121" w:name="_Hlt26954850"/>
      <w:r>
        <w:rPr>
          <w:rFonts w:hint="eastAsia" w:ascii="宋体" w:hAnsi="宋体" w:eastAsia="宋体" w:cs="宋体"/>
          <w:color w:val="auto"/>
          <w:sz w:val="21"/>
          <w:szCs w:val="21"/>
        </w:rPr>
        <w:t>15、投标有效期</w:t>
      </w:r>
      <w:bookmarkEnd w:id="117"/>
      <w:bookmarkEnd w:id="118"/>
    </w:p>
    <w:p w14:paraId="33D8D625">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15.1投标有效期为代理机构规定的开标之日后</w:t>
      </w:r>
      <w:r>
        <w:rPr>
          <w:rFonts w:hint="eastAsia" w:ascii="宋体" w:hAnsi="宋体" w:eastAsia="宋体" w:cs="宋体"/>
          <w:b/>
          <w:color w:val="auto"/>
          <w:sz w:val="21"/>
          <w:szCs w:val="21"/>
          <w:u w:val="single"/>
        </w:rPr>
        <w:t>九十（90）天</w:t>
      </w:r>
      <w:r>
        <w:rPr>
          <w:rFonts w:hint="eastAsia" w:ascii="宋体" w:hAnsi="宋体" w:eastAsia="宋体" w:cs="宋体"/>
          <w:color w:val="auto"/>
          <w:sz w:val="21"/>
          <w:szCs w:val="21"/>
        </w:rPr>
        <w:t>。投标有效期比规定短的将被视为未实质性响应招标文件而予以拒绝。</w:t>
      </w:r>
    </w:p>
    <w:p w14:paraId="2EDC28E2">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16、投标有效期的延长</w:t>
      </w:r>
    </w:p>
    <w:p w14:paraId="32C3CB9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p>
    <w:p w14:paraId="7F412889">
      <w:pPr>
        <w:pStyle w:val="32"/>
        <w:spacing w:beforeAutospacing="0" w:afterAutospacing="0" w:line="360" w:lineRule="auto"/>
        <w:ind w:firstLine="480"/>
        <w:jc w:val="both"/>
        <w:rPr>
          <w:rFonts w:ascii="宋体" w:hAnsi="宋体" w:eastAsia="宋体" w:cs="宋体"/>
          <w:color w:val="auto"/>
          <w:sz w:val="21"/>
          <w:szCs w:val="21"/>
        </w:rPr>
      </w:pPr>
      <w:bookmarkStart w:id="122" w:name="_Toc120614217"/>
      <w:bookmarkStart w:id="123" w:name="_Toc513029224"/>
      <w:bookmarkStart w:id="124" w:name="_Toc20823296"/>
      <w:bookmarkStart w:id="125" w:name="_Toc16938540"/>
      <w:bookmarkStart w:id="126" w:name="_Hlt26954852"/>
      <w:bookmarkStart w:id="127" w:name="_Hlt26954739"/>
      <w:r>
        <w:rPr>
          <w:rFonts w:hint="eastAsia" w:ascii="宋体" w:hAnsi="宋体" w:eastAsia="宋体" w:cs="宋体"/>
          <w:b/>
          <w:color w:val="auto"/>
          <w:sz w:val="21"/>
          <w:szCs w:val="21"/>
        </w:rPr>
        <w:t>四、投标文件的递交</w:t>
      </w:r>
      <w:bookmarkEnd w:id="122"/>
      <w:bookmarkEnd w:id="123"/>
      <w:bookmarkEnd w:id="124"/>
      <w:bookmarkEnd w:id="125"/>
    </w:p>
    <w:p w14:paraId="3DD55056">
      <w:pPr>
        <w:pStyle w:val="32"/>
        <w:spacing w:beforeAutospacing="0" w:afterAutospacing="0" w:line="360" w:lineRule="auto"/>
        <w:ind w:firstLine="480"/>
        <w:jc w:val="both"/>
        <w:rPr>
          <w:rFonts w:ascii="宋体" w:hAnsi="宋体" w:eastAsia="宋体" w:cs="宋体"/>
          <w:color w:val="auto"/>
          <w:sz w:val="21"/>
          <w:szCs w:val="21"/>
        </w:rPr>
      </w:pPr>
      <w:bookmarkStart w:id="128" w:name="_Toc16938541"/>
      <w:bookmarkStart w:id="129" w:name="_Toc20823297"/>
      <w:bookmarkStart w:id="130" w:name="_Toc513029225"/>
      <w:bookmarkStart w:id="131" w:name="_Toc462564084"/>
      <w:r>
        <w:rPr>
          <w:rFonts w:hint="eastAsia" w:ascii="宋体" w:hAnsi="宋体" w:eastAsia="宋体" w:cs="宋体"/>
          <w:color w:val="auto"/>
          <w:sz w:val="21"/>
          <w:szCs w:val="21"/>
        </w:rPr>
        <w:t>17、投标文件</w:t>
      </w:r>
      <w:bookmarkEnd w:id="128"/>
      <w:bookmarkEnd w:id="129"/>
      <w:bookmarkEnd w:id="130"/>
      <w:bookmarkEnd w:id="131"/>
      <w:r>
        <w:rPr>
          <w:rFonts w:hint="eastAsia" w:ascii="宋体" w:hAnsi="宋体" w:eastAsia="宋体" w:cs="宋体"/>
          <w:color w:val="auto"/>
          <w:sz w:val="21"/>
          <w:szCs w:val="21"/>
        </w:rPr>
        <w:t>的递交</w:t>
      </w:r>
    </w:p>
    <w:p w14:paraId="46A8D88B">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17.1 电子投标文件的递交</w:t>
      </w:r>
    </w:p>
    <w:p w14:paraId="5F2A40D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投标人应当按照《操作手册》规定，在投标截止时间前制作并上传电子投标文件。</w:t>
      </w:r>
      <w:bookmarkStart w:id="132" w:name="_Toc20823298"/>
      <w:bookmarkEnd w:id="132"/>
      <w:bookmarkStart w:id="133" w:name="_Toc16938542"/>
      <w:bookmarkEnd w:id="133"/>
      <w:bookmarkStart w:id="134" w:name="_Toc513029226"/>
    </w:p>
    <w:p w14:paraId="2A4B3825">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18、投标截止时间</w:t>
      </w:r>
    </w:p>
    <w:p w14:paraId="2B81977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i/>
          <w:color w:val="auto"/>
          <w:sz w:val="21"/>
          <w:szCs w:val="21"/>
          <w:u w:val="single"/>
        </w:rPr>
        <w:t>18.1投标人上传电子投标文件的时间不得迟于招标公告中规定的投标截止时间。</w:t>
      </w:r>
    </w:p>
    <w:p w14:paraId="031EC4F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投标人应充分考虑到网络环境、网络带宽等风险因素，如因投标人自身原因造成的电子投标文件上传不成功的按照本招标文件第二章第26.1.2条 规定做无效投标处理。</w:t>
      </w:r>
    </w:p>
    <w:p w14:paraId="5E0E959B">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18.2代理机构可以按照规定，通过修改招标文件酌情延长投标截止时间，在此情况下，投标人的所有权利和义务以及投标人受制的截止时间均应以延长后新的截止时间为准。</w:t>
      </w:r>
    </w:p>
    <w:p w14:paraId="0E31238D">
      <w:pPr>
        <w:pStyle w:val="32"/>
        <w:spacing w:beforeAutospacing="0" w:afterAutospacing="0" w:line="360" w:lineRule="auto"/>
        <w:ind w:firstLine="480"/>
        <w:jc w:val="both"/>
        <w:rPr>
          <w:rFonts w:ascii="宋体" w:hAnsi="宋体" w:eastAsia="宋体" w:cs="宋体"/>
          <w:color w:val="auto"/>
          <w:sz w:val="21"/>
          <w:szCs w:val="21"/>
        </w:rPr>
      </w:pPr>
      <w:bookmarkStart w:id="135" w:name="_Toc513029227"/>
      <w:bookmarkStart w:id="136" w:name="_Toc16938543"/>
      <w:bookmarkStart w:id="137" w:name="_Toc20823299"/>
      <w:r>
        <w:rPr>
          <w:rFonts w:hint="eastAsia" w:ascii="宋体" w:hAnsi="宋体" w:eastAsia="宋体" w:cs="宋体"/>
          <w:color w:val="auto"/>
          <w:sz w:val="21"/>
          <w:szCs w:val="21"/>
        </w:rPr>
        <w:t>19、投标文件</w:t>
      </w:r>
      <w:bookmarkEnd w:id="135"/>
      <w:bookmarkEnd w:id="136"/>
      <w:bookmarkEnd w:id="137"/>
      <w:r>
        <w:rPr>
          <w:rFonts w:hint="eastAsia" w:ascii="宋体" w:hAnsi="宋体" w:eastAsia="宋体" w:cs="宋体"/>
          <w:color w:val="auto"/>
          <w:sz w:val="21"/>
          <w:szCs w:val="21"/>
        </w:rPr>
        <w:t>的拒收</w:t>
      </w:r>
    </w:p>
    <w:p w14:paraId="54AACE7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19.1代理机构拒绝接收在其规定的投标截止时间后上传的任何投标文件。</w:t>
      </w:r>
    </w:p>
    <w:p w14:paraId="489E1A12">
      <w:pPr>
        <w:pStyle w:val="32"/>
        <w:spacing w:beforeAutospacing="0" w:afterAutospacing="0" w:line="360" w:lineRule="auto"/>
        <w:ind w:firstLine="480"/>
        <w:jc w:val="both"/>
        <w:rPr>
          <w:rFonts w:ascii="宋体" w:hAnsi="宋体" w:eastAsia="宋体" w:cs="宋体"/>
          <w:color w:val="auto"/>
          <w:sz w:val="21"/>
          <w:szCs w:val="21"/>
        </w:rPr>
      </w:pPr>
      <w:bookmarkStart w:id="138" w:name="_Toc513029228"/>
      <w:bookmarkStart w:id="139" w:name="_Toc16938544"/>
      <w:bookmarkStart w:id="140" w:name="_Toc20823300"/>
      <w:r>
        <w:rPr>
          <w:rFonts w:hint="eastAsia" w:ascii="宋体" w:hAnsi="宋体" w:eastAsia="宋体" w:cs="宋体"/>
          <w:color w:val="auto"/>
          <w:sz w:val="21"/>
          <w:szCs w:val="21"/>
        </w:rPr>
        <w:t>20、投标文件的撤回和修改</w:t>
      </w:r>
      <w:bookmarkEnd w:id="138"/>
      <w:bookmarkEnd w:id="139"/>
      <w:bookmarkEnd w:id="140"/>
    </w:p>
    <w:p w14:paraId="16D60BF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20.1投标文件的撤回</w:t>
      </w:r>
    </w:p>
    <w:p w14:paraId="2362202E">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20.1.1电子投标文件的撤回</w:t>
      </w:r>
    </w:p>
    <w:p w14:paraId="3898879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投标人可在投标截止时间前，撤回其电子投标文件，具体操作方法见《操作手册》。</w:t>
      </w:r>
    </w:p>
    <w:p w14:paraId="08651230">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20.1.2投标人撤回电子投标文件，则认为其不再参与本项目投标活动。</w:t>
      </w:r>
    </w:p>
    <w:p w14:paraId="69799F1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20.2 投标文件的修改</w:t>
      </w:r>
    </w:p>
    <w:p w14:paraId="6F143259">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20.2.1投标人可在投标截止时间前，对其电子投标文件进行修改，具体操作方法见《操作手册》。</w:t>
      </w:r>
    </w:p>
    <w:p w14:paraId="0F24E67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20.2.2在投标截止时间之后，投标人不得对其电子投标文件作任何修改。</w:t>
      </w:r>
    </w:p>
    <w:p w14:paraId="26F276B0">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20.3在投标截止时间至招标文件中规定的投标有效期满之间的这段时间内，投标人不得撤回其投标。</w:t>
      </w:r>
    </w:p>
    <w:p w14:paraId="04C09733">
      <w:pPr>
        <w:pStyle w:val="32"/>
        <w:spacing w:beforeAutospacing="0" w:afterAutospacing="0" w:line="360" w:lineRule="auto"/>
        <w:ind w:firstLine="480"/>
        <w:jc w:val="both"/>
        <w:rPr>
          <w:rFonts w:ascii="宋体" w:hAnsi="宋体" w:eastAsia="宋体" w:cs="宋体"/>
          <w:color w:val="auto"/>
          <w:sz w:val="21"/>
          <w:szCs w:val="21"/>
        </w:rPr>
      </w:pPr>
      <w:bookmarkStart w:id="141" w:name="_Toc16938545"/>
      <w:bookmarkStart w:id="142" w:name="_Toc120614218"/>
      <w:bookmarkStart w:id="143" w:name="_Toc20823301"/>
      <w:bookmarkStart w:id="144" w:name="_Toc513029229"/>
      <w:r>
        <w:rPr>
          <w:rFonts w:hint="eastAsia" w:ascii="宋体" w:hAnsi="宋体" w:eastAsia="宋体" w:cs="宋体"/>
          <w:b/>
          <w:color w:val="auto"/>
          <w:sz w:val="21"/>
          <w:szCs w:val="21"/>
        </w:rPr>
        <w:t>五、开标与评标</w:t>
      </w:r>
      <w:bookmarkEnd w:id="141"/>
      <w:bookmarkEnd w:id="142"/>
      <w:bookmarkEnd w:id="143"/>
      <w:bookmarkEnd w:id="144"/>
    </w:p>
    <w:p w14:paraId="25645479">
      <w:pPr>
        <w:pStyle w:val="32"/>
        <w:spacing w:beforeAutospacing="0" w:afterAutospacing="0" w:line="360" w:lineRule="auto"/>
        <w:ind w:firstLine="480"/>
        <w:jc w:val="both"/>
        <w:rPr>
          <w:rFonts w:ascii="宋体" w:hAnsi="宋体" w:eastAsia="宋体" w:cs="宋体"/>
          <w:color w:val="auto"/>
          <w:sz w:val="21"/>
          <w:szCs w:val="21"/>
        </w:rPr>
      </w:pPr>
      <w:bookmarkStart w:id="145" w:name="_Toc513029230"/>
      <w:bookmarkStart w:id="146" w:name="_Toc20823302"/>
      <w:bookmarkStart w:id="147" w:name="_Toc16938546"/>
      <w:r>
        <w:rPr>
          <w:rFonts w:hint="eastAsia" w:ascii="宋体" w:hAnsi="宋体" w:eastAsia="宋体" w:cs="宋体"/>
          <w:color w:val="auto"/>
          <w:sz w:val="21"/>
          <w:szCs w:val="21"/>
        </w:rPr>
        <w:t>21、开标</w:t>
      </w:r>
      <w:bookmarkEnd w:id="145"/>
      <w:bookmarkEnd w:id="146"/>
      <w:bookmarkEnd w:id="147"/>
    </w:p>
    <w:p w14:paraId="7CB7554E">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21.1代理机构将在招标公告中规定的时间和地点组织公开开标。投标人应当按照《操作手册》规定，参加开标活动和在苏采云系统规定的时间内对投标文件进行解密。</w:t>
      </w:r>
    </w:p>
    <w:p w14:paraId="31D831D1">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21.2开标仪式由代理机构组织。苏采云系统将自动对项目进行开标，并宣布各投标人名称和投标价格。</w:t>
      </w:r>
    </w:p>
    <w:p w14:paraId="4C17B26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21.3投标人在开标过程中涉及到的投标文件解密、开标结果确认等工作，应按照《操作手册》规定执行。</w:t>
      </w:r>
    </w:p>
    <w:p w14:paraId="4C69386E">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21.4投标人如果对开标过程和开标记录有疑义，应当根据《操作手册》规定提出，如苏采云系统中《开标记录表》宣布后5分钟内未提出的，视同认可开标结果。</w:t>
      </w:r>
    </w:p>
    <w:p w14:paraId="70196DA1">
      <w:pPr>
        <w:pStyle w:val="32"/>
        <w:spacing w:beforeAutospacing="0" w:afterAutospacing="0" w:line="360" w:lineRule="auto"/>
        <w:ind w:firstLine="480"/>
        <w:jc w:val="both"/>
        <w:rPr>
          <w:rFonts w:ascii="宋体" w:hAnsi="宋体" w:eastAsia="宋体" w:cs="宋体"/>
          <w:color w:val="auto"/>
          <w:sz w:val="21"/>
          <w:szCs w:val="21"/>
        </w:rPr>
      </w:pPr>
      <w:bookmarkStart w:id="148" w:name="_Toc20823303"/>
      <w:bookmarkStart w:id="149" w:name="_Toc16938547"/>
      <w:bookmarkStart w:id="150" w:name="_Toc513029231"/>
      <w:r>
        <w:rPr>
          <w:rFonts w:hint="eastAsia" w:ascii="宋体" w:hAnsi="宋体" w:eastAsia="宋体" w:cs="宋体"/>
          <w:color w:val="auto"/>
          <w:sz w:val="21"/>
          <w:szCs w:val="21"/>
        </w:rPr>
        <w:t>22、评标委员会</w:t>
      </w:r>
      <w:bookmarkEnd w:id="148"/>
      <w:bookmarkEnd w:id="149"/>
      <w:bookmarkEnd w:id="150"/>
    </w:p>
    <w:p w14:paraId="08D20E02">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22.1开标后，代理机构将立即组织评标委员会（以下简称评委会）进行评标。</w:t>
      </w:r>
    </w:p>
    <w:p w14:paraId="6581C0B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22.2评委会由采购人代表和有关技术、经济等方面的专家组成，且人员构成符合政府采购有关规定。</w:t>
      </w:r>
    </w:p>
    <w:p w14:paraId="2D8F8CF6">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22.3评委会独立工作，负责评审所有投标文件并确定中标候选人。</w:t>
      </w:r>
    </w:p>
    <w:p w14:paraId="1D28C82B">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23、评标过程的保密与公正</w:t>
      </w:r>
    </w:p>
    <w:p w14:paraId="4ABE07F0">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23.1凡是与审查、澄清、评价和比较投标的有关资料以及授标建议等，采购人、评委、代理机构均不得向投标人或与评标无关的其他人员透露。</w:t>
      </w:r>
    </w:p>
    <w:p w14:paraId="0DC65B27">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23.2在评标过程中，投标人不得以任何行为影响评标过程，否则其投标文件将被作为无效投标文件。</w:t>
      </w:r>
    </w:p>
    <w:p w14:paraId="729CC580">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23.3代理机构和评标委员会不向未中标的投标人解释未中标原因，也不公布评标过程中的相关细节。</w:t>
      </w:r>
    </w:p>
    <w:p w14:paraId="14E8735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23.4采用综合评分法的项目，未中标的投标人可于中标结果公告期限届满之日起通过苏采云系统查看自己的评审得分及排序情况。</w:t>
      </w:r>
      <w:bookmarkStart w:id="151" w:name="_Toc16938548"/>
      <w:bookmarkStart w:id="152" w:name="_Toc513029232"/>
      <w:bookmarkStart w:id="153" w:name="_Toc20823304"/>
    </w:p>
    <w:p w14:paraId="77476982">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24、投标文件的澄清</w:t>
      </w:r>
      <w:bookmarkEnd w:id="151"/>
      <w:bookmarkEnd w:id="152"/>
      <w:bookmarkEnd w:id="153"/>
    </w:p>
    <w:p w14:paraId="4FAFD92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24.1评标期间，评委会对投标文件中含义不明确、同类问题表述不一致或者有明显文字和计算错误的内容 ，有权要求投标人作出必要的澄清、说明或者补正。</w:t>
      </w:r>
    </w:p>
    <w:p w14:paraId="71EB7320">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投标人的澄清、说明或者补正不得超出投标文件的范围或者改变投标文件的实质性内容。</w:t>
      </w:r>
    </w:p>
    <w:p w14:paraId="5CF70AF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评标委员会并非对每个投标人都做澄清要求。</w:t>
      </w:r>
    </w:p>
    <w:p w14:paraId="3F952597">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32874D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24.3接到评委会澄清、说明和补正要求的投标人如未按规定作出澄清、说明和补正，其风险由投标人自行承担。</w:t>
      </w:r>
    </w:p>
    <w:p w14:paraId="4F97B2E0">
      <w:pPr>
        <w:pStyle w:val="32"/>
        <w:spacing w:beforeAutospacing="0" w:afterAutospacing="0" w:line="360" w:lineRule="auto"/>
        <w:ind w:firstLine="480"/>
        <w:jc w:val="both"/>
        <w:rPr>
          <w:rFonts w:ascii="宋体" w:hAnsi="宋体" w:eastAsia="宋体" w:cs="宋体"/>
          <w:color w:val="auto"/>
          <w:sz w:val="21"/>
          <w:szCs w:val="21"/>
        </w:rPr>
      </w:pPr>
      <w:bookmarkStart w:id="154" w:name="_Toc16938549"/>
      <w:bookmarkStart w:id="155" w:name="_Toc20823305"/>
      <w:bookmarkStart w:id="156" w:name="_Toc513029233"/>
      <w:r>
        <w:rPr>
          <w:rFonts w:hint="eastAsia" w:ascii="宋体" w:hAnsi="宋体" w:eastAsia="宋体" w:cs="宋体"/>
          <w:color w:val="auto"/>
          <w:sz w:val="21"/>
          <w:szCs w:val="21"/>
        </w:rPr>
        <w:t>25、对投标文件的初审</w:t>
      </w:r>
      <w:bookmarkEnd w:id="154"/>
      <w:bookmarkEnd w:id="155"/>
      <w:bookmarkEnd w:id="156"/>
    </w:p>
    <w:p w14:paraId="5A5AC912">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25.1投标文件初审分为资格审查和符合性审查。</w:t>
      </w:r>
    </w:p>
    <w:p w14:paraId="77BDB4B9">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25.1.1资格审查：依据法律法规和招标文件的规定，由采购人对投标文件中的资格证明文件进行审查。资格审查的结论，采购人以书面形式向评委会进行反馈。</w:t>
      </w:r>
    </w:p>
    <w:p w14:paraId="3F232641">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采购人在进行资格性审查的同时，将在“信用中国”网站（www.creditchina.gov.cn）查询投标人的信用记录，以确定投标人是否具备投标资格,查询结果留存并归档。</w:t>
      </w:r>
    </w:p>
    <w:p w14:paraId="10898702">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接受联合体的项目，两个以上的自然人、法人或者其他组织组成一个联合体，以一个供应商的身份共同参加政府采购活动的,联合体成员存在不良信用记录的，视同联合体存在不良应用记录。</w:t>
      </w:r>
    </w:p>
    <w:p w14:paraId="570DE6D4">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25.1.2符合性审查：依据招标文件的规定，由评委会从投标文件的有效性、完整性和对招标文件的响应程度进行审查，以确定是否对招标文件的实质性要求作出响应。</w:t>
      </w:r>
    </w:p>
    <w:p w14:paraId="4CC0ABC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25.1.3未通过资格审查或符合性审查的投标人，代理机构将在苏采云系统中告知未通过资格审查或符合性审查的原因，评标结束后，代理机构将不再告知未通过资格审查和符合性审查的原因。</w:t>
      </w:r>
    </w:p>
    <w:p w14:paraId="4EA7B030">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25.2在详细评标之前，评委会将首先审查每份投标文件是否实质性响应了招标文件的要求。实质性响应的投标应该是与招标文件要求的全部条款、条件和规格相符，没有重大偏离或保留的投标。</w:t>
      </w:r>
    </w:p>
    <w:p w14:paraId="6CE52DF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AE39E60">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25.3如果投标文件实质上没有响应招标文件的要求，评委会将予以拒绝，投标人不得通过修改或撤销不合要求的偏离或保留而使其投标成为实质性响应的投标。</w:t>
      </w:r>
    </w:p>
    <w:p w14:paraId="581F62F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25.4评委会将对确定为实质性响应的投标进行进一步审核，确定其是否有计算上或累加上的算术错误，修正错误的原则如下：</w:t>
      </w:r>
    </w:p>
    <w:p w14:paraId="14FB272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（1）投标文件中开标一览表内容与投标文件中相应内容不一致的，以开标一览表为准。</w:t>
      </w:r>
    </w:p>
    <w:p w14:paraId="1A09F5A0">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（2）大写金额和小写金额不一致的，以大写金额为准。</w:t>
      </w:r>
    </w:p>
    <w:p w14:paraId="2852A0D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（3）单价金额小数点或者百分比有明显错位的，以开标一览表的总价为准，并修改单价。</w:t>
      </w:r>
    </w:p>
    <w:p w14:paraId="42F5EAB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（4）总价金额与按单价汇总金额不一致的，以单价金额计算结果为准。</w:t>
      </w:r>
    </w:p>
    <w:p w14:paraId="4F38E817">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同时出现两种以上错误的，按照前款规定的顺序修正。</w:t>
      </w:r>
    </w:p>
    <w:p w14:paraId="6DB7CE17">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25.5评委会将按上述修正错误的方法调整投标文件中的投标报价，并通过苏采云系统告知投标人，调整后的价格应对投标人具有约束力。如果投标人不接受修正后的价格，则其投标将被拒绝。</w:t>
      </w:r>
    </w:p>
    <w:p w14:paraId="649826D6">
      <w:pPr>
        <w:pStyle w:val="32"/>
        <w:spacing w:beforeAutospacing="0" w:afterAutospacing="0" w:line="360" w:lineRule="auto"/>
        <w:ind w:firstLine="480"/>
        <w:jc w:val="both"/>
        <w:rPr>
          <w:rFonts w:ascii="宋体" w:hAnsi="宋体" w:eastAsia="宋体" w:cs="宋体"/>
          <w:color w:val="auto"/>
          <w:sz w:val="21"/>
          <w:szCs w:val="21"/>
        </w:rPr>
      </w:pPr>
      <w:bookmarkStart w:id="157" w:name="_Toc16938550"/>
      <w:bookmarkStart w:id="158" w:name="_Toc20823306"/>
      <w:bookmarkStart w:id="159" w:name="_Toc513029234"/>
      <w:r>
        <w:rPr>
          <w:rFonts w:hint="eastAsia" w:ascii="宋体" w:hAnsi="宋体" w:eastAsia="宋体" w:cs="宋体"/>
          <w:color w:val="auto"/>
          <w:sz w:val="21"/>
          <w:szCs w:val="21"/>
        </w:rPr>
        <w:t>25.6投标人在开、评标全过程中应保持通信畅通，及时登录苏采云系统查阅、答复相关信息，并安排专人与代理机构及评标委员会联系。</w:t>
      </w:r>
      <w:bookmarkEnd w:id="157"/>
      <w:bookmarkEnd w:id="158"/>
      <w:bookmarkEnd w:id="159"/>
    </w:p>
    <w:p w14:paraId="125FB027">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26、无效投标条款和废标条款</w:t>
      </w:r>
    </w:p>
    <w:p w14:paraId="6D2FBA2A">
      <w:pPr>
        <w:pStyle w:val="32"/>
        <w:spacing w:beforeAutospacing="0" w:afterAutospacing="0" w:line="360" w:lineRule="auto"/>
        <w:ind w:firstLine="480"/>
        <w:jc w:val="both"/>
        <w:rPr>
          <w:rFonts w:ascii="宋体" w:hAnsi="宋体" w:eastAsia="宋体" w:cs="宋体"/>
          <w:color w:val="auto"/>
          <w:sz w:val="21"/>
          <w:szCs w:val="21"/>
        </w:rPr>
      </w:pPr>
      <w:bookmarkStart w:id="160" w:name="_Toc513029235"/>
      <w:bookmarkStart w:id="161" w:name="_Toc20823307"/>
      <w:bookmarkStart w:id="162" w:name="_Toc16938551"/>
      <w:r>
        <w:rPr>
          <w:rFonts w:hint="eastAsia" w:ascii="宋体" w:hAnsi="宋体" w:eastAsia="宋体" w:cs="宋体"/>
          <w:color w:val="auto"/>
          <w:sz w:val="21"/>
          <w:szCs w:val="21"/>
        </w:rPr>
        <w:t>26.1无效投标条款</w:t>
      </w:r>
      <w:bookmarkEnd w:id="160"/>
      <w:bookmarkEnd w:id="161"/>
      <w:bookmarkEnd w:id="162"/>
    </w:p>
    <w:p w14:paraId="631ACA8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26.1.1投标人在苏采云系统规定的时间内未成功解密电子投标文件的。</w:t>
      </w:r>
    </w:p>
    <w:p w14:paraId="1A30BAC2">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26.1.2投标人未按照招标文件要求上传电子投标文件的。</w:t>
      </w:r>
    </w:p>
    <w:p w14:paraId="7FC9A945">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26.1.3同一投标人提交两个（含两个）以上不同的投标报价的。</w:t>
      </w:r>
    </w:p>
    <w:p w14:paraId="1F23FA25">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26.1.4投标人不具备招标文件中规定资格要求的。</w:t>
      </w:r>
    </w:p>
    <w:p w14:paraId="5331AC06">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26.1.5投标人的报价超过了采购预算或最高限价的。</w:t>
      </w:r>
    </w:p>
    <w:p w14:paraId="41D04B1B">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26.1.6未通过符合性审查的。</w:t>
      </w:r>
    </w:p>
    <w:p w14:paraId="64EEB20D">
      <w:pPr>
        <w:pStyle w:val="32"/>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sz w:val="21"/>
          <w:szCs w:val="21"/>
        </w:rPr>
        <w:t>26.1.7不符合招标文件中规定的实质性要求和条件的</w:t>
      </w:r>
      <w:r>
        <w:rPr>
          <w:rFonts w:hint="eastAsia" w:ascii="宋体" w:hAnsi="宋体" w:eastAsia="宋体" w:cs="宋体"/>
          <w:color w:val="auto"/>
        </w:rPr>
        <w:t>（</w:t>
      </w:r>
      <w:r>
        <w:rPr>
          <w:rFonts w:hint="eastAsia" w:ascii="宋体" w:hAnsi="宋体" w:eastAsia="宋体" w:cs="宋体"/>
          <w:i/>
          <w:color w:val="auto"/>
          <w:u w:val="single"/>
        </w:rPr>
        <w:t>本招标文件中斜体且有下划线部分为实质性要求和条件）。</w:t>
      </w:r>
    </w:p>
    <w:p w14:paraId="1F9CFB0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CD1FFD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26.1.9投标文件含有采购人不能接受的附加条件的。</w:t>
      </w:r>
    </w:p>
    <w:p w14:paraId="1F147CC2">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26.1.10投标人不能证明其报价合理性的，评标委员会应当将其作为无效投标处理。</w:t>
      </w:r>
    </w:p>
    <w:p w14:paraId="1375D36E">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（一）评审过程中出现下列情形之一的，评标委员会应当启动异常低价投标审查程序：</w:t>
      </w:r>
    </w:p>
    <w:p w14:paraId="52DE8DB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1.投标报价低于采购项目预算50% 的，即投标报价&lt;采购项目预算×50%；</w:t>
      </w:r>
    </w:p>
    <w:p w14:paraId="15F65EC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2.投标报价低于采购项目最高限价45% 的，即投标报价&lt;采购项目最高限价×45%；</w:t>
      </w:r>
    </w:p>
    <w:p w14:paraId="2BDB6A19">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3.评标委员会认定的供应商报价过低、有可能影响产品质量或者不能诚信履约的其他情形。</w:t>
      </w:r>
    </w:p>
    <w:p w14:paraId="2F5F51F0">
      <w:pPr>
        <w:pStyle w:val="32"/>
        <w:spacing w:beforeAutospacing="0" w:afterAutospacing="0" w:line="360" w:lineRule="auto"/>
        <w:ind w:firstLine="480"/>
        <w:jc w:val="both"/>
        <w:rPr>
          <w:rFonts w:ascii="宋体" w:hAnsi="宋体" w:eastAsia="宋体" w:cs="宋体"/>
          <w:color w:val="auto"/>
          <w:sz w:val="21"/>
          <w:szCs w:val="21"/>
          <w:highlight w:val="yellow"/>
        </w:rPr>
      </w:pPr>
      <w:r>
        <w:rPr>
          <w:rFonts w:hint="eastAsia" w:ascii="宋体" w:hAnsi="宋体" w:eastAsia="宋体" w:cs="宋体"/>
          <w:color w:val="auto"/>
          <w:sz w:val="21"/>
          <w:szCs w:val="21"/>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195A918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26.1.11投标文件未按照招标文件要求加盖CA电子公章的。</w:t>
      </w:r>
    </w:p>
    <w:p w14:paraId="6CD89E17">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26.1.12其他法律、法规及本招标文件规定的属无效投标的情形。</w:t>
      </w:r>
    </w:p>
    <w:p w14:paraId="58A6B7BD">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26.2废标条款</w:t>
      </w:r>
    </w:p>
    <w:p w14:paraId="2920EED4">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26.2.1符合专业条件的供应商或者对招标文件作实质响应的供应商不足三家的。</w:t>
      </w:r>
    </w:p>
    <w:p w14:paraId="7146F584">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26.2.2出现影响采购公正的违法、违规行为的。</w:t>
      </w:r>
    </w:p>
    <w:p w14:paraId="67C4493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26.2.3因重大变故，采购任务取消的。</w:t>
      </w:r>
    </w:p>
    <w:p w14:paraId="1C19307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26.2.4评标委员会认定招标文件存在歧义、重大缺陷导致评审工作无法进行。</w:t>
      </w:r>
    </w:p>
    <w:p w14:paraId="7C28142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26.2.5因苏采云系统系统故障原因造成开标不成功的。</w:t>
      </w:r>
    </w:p>
    <w:p w14:paraId="560E52B7">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26.3 投标截止时间结束后参加投标的供应商不足三家的处理：</w:t>
      </w:r>
    </w:p>
    <w:p w14:paraId="23A98A4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26.3.1如出现投标截止时间结束后参加投标的供应商或者在评标期间对招标文件做出实质响应的供应商不足三家情况，按政府采购相关规定执行。</w:t>
      </w:r>
    </w:p>
    <w:p w14:paraId="3D7DEB57">
      <w:pPr>
        <w:pStyle w:val="32"/>
        <w:spacing w:beforeAutospacing="0" w:afterAutospacing="0" w:line="360" w:lineRule="auto"/>
        <w:ind w:firstLine="480"/>
        <w:jc w:val="both"/>
        <w:rPr>
          <w:rFonts w:ascii="宋体" w:hAnsi="宋体" w:eastAsia="宋体" w:cs="宋体"/>
          <w:color w:val="auto"/>
          <w:sz w:val="21"/>
          <w:szCs w:val="21"/>
        </w:rPr>
      </w:pPr>
      <w:bookmarkStart w:id="163" w:name="_Toc120614219"/>
      <w:r>
        <w:rPr>
          <w:rFonts w:hint="eastAsia" w:ascii="宋体" w:hAnsi="宋体" w:eastAsia="宋体" w:cs="宋体"/>
          <w:b/>
          <w:color w:val="auto"/>
          <w:sz w:val="21"/>
          <w:szCs w:val="21"/>
        </w:rPr>
        <w:t>六、定标</w:t>
      </w:r>
      <w:bookmarkEnd w:id="163"/>
    </w:p>
    <w:p w14:paraId="041AA76D">
      <w:pPr>
        <w:pStyle w:val="32"/>
        <w:spacing w:beforeAutospacing="0" w:afterAutospacing="0" w:line="360" w:lineRule="auto"/>
        <w:ind w:firstLine="480"/>
        <w:jc w:val="both"/>
        <w:rPr>
          <w:rFonts w:ascii="宋体" w:hAnsi="宋体" w:eastAsia="宋体" w:cs="宋体"/>
          <w:color w:val="auto"/>
          <w:sz w:val="21"/>
          <w:szCs w:val="21"/>
        </w:rPr>
      </w:pPr>
      <w:bookmarkStart w:id="164" w:name="_Toc20823310"/>
      <w:bookmarkStart w:id="165" w:name="_Toc16938554"/>
      <w:bookmarkStart w:id="166" w:name="_Toc513029238"/>
      <w:r>
        <w:rPr>
          <w:rFonts w:hint="eastAsia" w:ascii="宋体" w:hAnsi="宋体" w:eastAsia="宋体" w:cs="宋体"/>
          <w:color w:val="auto"/>
          <w:sz w:val="21"/>
          <w:szCs w:val="21"/>
        </w:rPr>
        <w:t>27、</w:t>
      </w:r>
      <w:bookmarkEnd w:id="164"/>
      <w:r>
        <w:rPr>
          <w:rFonts w:hint="eastAsia" w:ascii="宋体" w:hAnsi="宋体" w:eastAsia="宋体" w:cs="宋体"/>
          <w:color w:val="auto"/>
          <w:sz w:val="21"/>
          <w:szCs w:val="21"/>
        </w:rPr>
        <w:t>确定</w:t>
      </w:r>
      <w:bookmarkEnd w:id="165"/>
      <w:bookmarkEnd w:id="166"/>
      <w:r>
        <w:rPr>
          <w:rFonts w:hint="eastAsia" w:ascii="宋体" w:hAnsi="宋体" w:eastAsia="宋体" w:cs="宋体"/>
          <w:color w:val="auto"/>
          <w:sz w:val="21"/>
          <w:szCs w:val="21"/>
        </w:rPr>
        <w:t>中标单位</w:t>
      </w:r>
    </w:p>
    <w:p w14:paraId="60879FD7">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 xml:space="preserve">27.1中标候选人的选取原则和数量见招标文件第五章规定。 </w:t>
      </w:r>
    </w:p>
    <w:p w14:paraId="1F2BF0A1">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27.2采购人应根据评委会推荐的中标候选人确定中标人。</w:t>
      </w:r>
    </w:p>
    <w:p w14:paraId="26C4C117">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27.3代理机构将在“中国政府采购网”“江苏政府采购网”“盐城市政府采购网”发布中标公告，公告期限为1个工作日。</w:t>
      </w:r>
    </w:p>
    <w:p w14:paraId="5A33460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27.4若有充分证据证明，中标人出现下列情况之一的，一经查实，将被取消中标资格：</w:t>
      </w:r>
    </w:p>
    <w:p w14:paraId="7C566E7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27.4.1提供虚假材料谋取中标的。</w:t>
      </w:r>
    </w:p>
    <w:p w14:paraId="76496839">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27.4.2向采购人、代理机构行贿或者提供其他不正当利益的。</w:t>
      </w:r>
    </w:p>
    <w:p w14:paraId="1A177DDD">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27.4.3属于本文件规定的无效条件，但在评标过程中又未被评委会发现的。</w:t>
      </w:r>
    </w:p>
    <w:p w14:paraId="297852F1">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27.4.4与采购人或者其他供应商恶意串通的。</w:t>
      </w:r>
    </w:p>
    <w:p w14:paraId="3D073840">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27.4.5采取不正当手段诋毁、排挤其他供应商的。</w:t>
      </w:r>
    </w:p>
    <w:p w14:paraId="23FF76B3">
      <w:pPr>
        <w:pStyle w:val="32"/>
        <w:spacing w:beforeAutospacing="0" w:afterAutospacing="0" w:line="360" w:lineRule="auto"/>
        <w:ind w:firstLine="480"/>
        <w:jc w:val="both"/>
        <w:rPr>
          <w:rFonts w:ascii="宋体" w:hAnsi="宋体" w:eastAsia="宋体" w:cs="宋体"/>
          <w:color w:val="auto"/>
          <w:sz w:val="21"/>
          <w:szCs w:val="21"/>
        </w:rPr>
      </w:pPr>
      <w:bookmarkStart w:id="167" w:name="_Toc200451960"/>
      <w:r>
        <w:rPr>
          <w:rFonts w:hint="eastAsia" w:ascii="宋体" w:hAnsi="宋体" w:eastAsia="宋体" w:cs="宋体"/>
          <w:color w:val="auto"/>
          <w:sz w:val="21"/>
          <w:szCs w:val="21"/>
        </w:rPr>
        <w:t>27.5 有下列情形之一的，视为投标人串通投标，投标无效：</w:t>
      </w:r>
      <w:bookmarkEnd w:id="167"/>
    </w:p>
    <w:p w14:paraId="7EE341C0">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27.5.1不同投标人的投标文件由同一单位或者个人编制。</w:t>
      </w:r>
    </w:p>
    <w:p w14:paraId="2D5C4AE0">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27.5.2不同投标人委托同一单位或者个人办理投标事宜。</w:t>
      </w:r>
    </w:p>
    <w:p w14:paraId="2C12C485">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27.5.3不同投标人的投标文件载明的项目管理成员或者联系人员为同一人。</w:t>
      </w:r>
    </w:p>
    <w:p w14:paraId="11FD2A57">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27.5.4不同投标人的投标文件异常一致或者投标报价呈规律性差异。</w:t>
      </w:r>
    </w:p>
    <w:p w14:paraId="331D069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28、质疑处理</w:t>
      </w:r>
    </w:p>
    <w:p w14:paraId="33EFA85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28.1提出质疑的供应商应当是参与所质疑项目采购活动的供应商。潜在供应商依法获取其可质疑的采购文件的，可以对采购文件提出质疑。</w:t>
      </w:r>
    </w:p>
    <w:p w14:paraId="2B89AF01">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3A33DAB2">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28.2.1对可以质疑的采购文件提出质疑的，为收到采购文件之日或者采购文件公告期限届满之日；</w:t>
      </w:r>
    </w:p>
    <w:p w14:paraId="2F88AA3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28.2.2对采购过程提出质疑的，为各采购程序环节结束之日；</w:t>
      </w:r>
    </w:p>
    <w:p w14:paraId="5284B774">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28.2.3对中标或者成交结果提出质疑的，为中标或者成交结果公告期限届满之日。</w:t>
      </w:r>
    </w:p>
    <w:p w14:paraId="4E0DD2B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供应商应当在法定质疑期内一次性提出针对同一采购程序环节的质疑。供应商如在法定期限内对同一采购程序环节提出多次质疑的，代理机构、采购人将只对供应商第一次质疑作出答复。</w:t>
      </w:r>
    </w:p>
    <w:p w14:paraId="2E724104">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28.3质疑函必须按照本招标文件中《质疑函范本》要求的格式和内容进行填写。供应商如组成联合体参加投标，则《质疑函范本》中要求签字、盖章、加盖公章之处，联合体各方均须按要求签字、盖章、加盖公章。</w:t>
      </w:r>
    </w:p>
    <w:p w14:paraId="64C12B71">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p>
    <w:p w14:paraId="2B9E4ECD">
      <w:pPr>
        <w:pStyle w:val="32"/>
        <w:spacing w:beforeAutospacing="0" w:afterAutospacing="0" w:line="360" w:lineRule="auto"/>
        <w:ind w:firstLine="420"/>
        <w:jc w:val="both"/>
        <w:rPr>
          <w:rFonts w:ascii="宋体" w:hAnsi="宋体" w:eastAsia="宋体" w:cs="宋体"/>
          <w:color w:val="auto"/>
          <w:sz w:val="21"/>
          <w:szCs w:val="21"/>
        </w:rPr>
      </w:pPr>
      <w:r>
        <w:rPr>
          <w:rFonts w:hint="eastAsia" w:ascii="宋体" w:hAnsi="宋体" w:eastAsia="宋体" w:cs="宋体"/>
          <w:color w:val="auto"/>
          <w:sz w:val="21"/>
          <w:szCs w:val="21"/>
        </w:rPr>
        <w:t>采购人及代理机构只接收以纸质原件形式送达的质疑,采购人和代理机构不接受未填写快递运单的快件。</w:t>
      </w:r>
    </w:p>
    <w:p w14:paraId="52F844C5">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28.5 以下情形的质疑不予受理</w:t>
      </w:r>
    </w:p>
    <w:p w14:paraId="4CA9F775">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28.5.1内容不符合《政府采购质疑和投诉办法》第十二条规定的质疑。</w:t>
      </w:r>
    </w:p>
    <w:p w14:paraId="7BEBDB5F">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28.5.2超出政府采购法定期限的质疑。</w:t>
      </w:r>
    </w:p>
    <w:p w14:paraId="15B516DB">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28.5.3以传真、电子邮件等方式递交的非原件形式的质疑。</w:t>
      </w:r>
    </w:p>
    <w:p w14:paraId="643106C9">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28.5.4未参加投标活动的供应商或在投标活动中自身权益未受到损害的供应商所提出的质疑。</w:t>
      </w:r>
    </w:p>
    <w:p w14:paraId="1FE3B909">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28.5.5供应商组成联合体参加投标，联合体中任何一方或多方未按要求签字、盖章、加盖公章的质疑。</w:t>
      </w:r>
    </w:p>
    <w:p w14:paraId="1BA70FC4">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01981B2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29、中标通知书</w:t>
      </w:r>
    </w:p>
    <w:p w14:paraId="54628734">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B853F96">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29.2中标通知书将是合同的一个组成部分。对采购人和中标人均具有法律效力。中标通知书发出后，采购人改变中标结果的，或者中标人放弃中标项目的，应当依法承担法律责任。</w:t>
      </w:r>
    </w:p>
    <w:p w14:paraId="4BDBA93B">
      <w:pPr>
        <w:pStyle w:val="32"/>
        <w:spacing w:beforeAutospacing="0" w:afterAutospacing="0" w:line="360" w:lineRule="auto"/>
        <w:ind w:firstLine="480"/>
        <w:jc w:val="both"/>
        <w:rPr>
          <w:rFonts w:ascii="宋体" w:hAnsi="宋体" w:eastAsia="宋体" w:cs="宋体"/>
          <w:color w:val="auto"/>
          <w:sz w:val="21"/>
          <w:szCs w:val="21"/>
        </w:rPr>
      </w:pPr>
      <w:bookmarkStart w:id="168" w:name="_Toc513029236"/>
      <w:bookmarkStart w:id="169" w:name="_Toc16938552"/>
      <w:bookmarkStart w:id="170" w:name="_Toc120614220"/>
      <w:bookmarkStart w:id="171" w:name="_Toc20823308"/>
      <w:r>
        <w:rPr>
          <w:rFonts w:hint="eastAsia" w:ascii="宋体" w:hAnsi="宋体" w:eastAsia="宋体" w:cs="宋体"/>
          <w:b/>
          <w:color w:val="auto"/>
          <w:sz w:val="21"/>
          <w:szCs w:val="21"/>
        </w:rPr>
        <w:t>七、授予合同</w:t>
      </w:r>
      <w:bookmarkEnd w:id="168"/>
      <w:bookmarkEnd w:id="169"/>
      <w:bookmarkEnd w:id="170"/>
      <w:bookmarkEnd w:id="171"/>
    </w:p>
    <w:p w14:paraId="30BA6B1E">
      <w:pPr>
        <w:pStyle w:val="32"/>
        <w:spacing w:beforeAutospacing="0" w:afterAutospacing="0" w:line="360" w:lineRule="auto"/>
        <w:ind w:firstLine="480"/>
        <w:jc w:val="both"/>
        <w:rPr>
          <w:rFonts w:ascii="宋体" w:hAnsi="宋体" w:eastAsia="宋体" w:cs="宋体"/>
          <w:color w:val="auto"/>
          <w:sz w:val="21"/>
          <w:szCs w:val="21"/>
        </w:rPr>
      </w:pPr>
      <w:bookmarkStart w:id="172" w:name="_Toc20823309"/>
      <w:bookmarkStart w:id="173" w:name="_Toc16938553"/>
      <w:bookmarkStart w:id="174" w:name="_Toc513029237"/>
      <w:r>
        <w:rPr>
          <w:rFonts w:hint="eastAsia" w:ascii="宋体" w:hAnsi="宋体" w:eastAsia="宋体" w:cs="宋体"/>
          <w:color w:val="auto"/>
          <w:sz w:val="21"/>
          <w:szCs w:val="21"/>
        </w:rPr>
        <w:t>30.签订合同</w:t>
      </w:r>
      <w:bookmarkEnd w:id="172"/>
      <w:bookmarkEnd w:id="173"/>
      <w:bookmarkEnd w:id="174"/>
    </w:p>
    <w:p w14:paraId="721D20AD">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30.l中标人应当在中标通知书发出之日起三十日内，按照招标文件确定的事项与采购人签订政府采购合同。</w:t>
      </w:r>
    </w:p>
    <w:p w14:paraId="3B7FE9B9">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30.2招标文件、中标人的投标文件及招标过程中有关澄清、承诺文件均应作为合同附件。</w:t>
      </w:r>
    </w:p>
    <w:p w14:paraId="2F0202B6">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30.3签订合同后，</w:t>
      </w:r>
      <w:r>
        <w:rPr>
          <w:rFonts w:hint="eastAsia" w:ascii="宋体" w:hAnsi="宋体" w:eastAsia="宋体" w:cs="宋体"/>
          <w:i/>
          <w:color w:val="auto"/>
          <w:sz w:val="21"/>
          <w:szCs w:val="21"/>
          <w:u w:val="single"/>
        </w:rPr>
        <w:t>中标人不得将合同标的进行转包</w:t>
      </w:r>
      <w:r>
        <w:rPr>
          <w:rFonts w:hint="eastAsia" w:ascii="宋体" w:hAnsi="宋体" w:eastAsia="宋体" w:cs="宋体"/>
          <w:color w:val="auto"/>
          <w:sz w:val="21"/>
          <w:szCs w:val="21"/>
        </w:rPr>
        <w:t>。未经采购人同意，中标人也不得采用分包的形式履行合同，否则采购人有权终止合同。转包或分包造成采购人损失的，中标人应承担相应赔偿责任。</w:t>
      </w:r>
    </w:p>
    <w:p w14:paraId="31604039">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31、服务（包含与服务相关的货物）的追加</w:t>
      </w:r>
    </w:p>
    <w:p w14:paraId="3FCEDDD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45766CEE">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32.政府采购政策功能落实</w:t>
      </w:r>
    </w:p>
    <w:p w14:paraId="0E5B96E5">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32.1政府采购线上合同信用融资政策</w:t>
      </w:r>
    </w:p>
    <w:p w14:paraId="78064A59">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754B64A6">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32.2进口产品</w:t>
      </w:r>
    </w:p>
    <w:p w14:paraId="37A8CA95">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B89694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32.3中小企业、监狱企业及残疾人福利性单位</w:t>
      </w:r>
    </w:p>
    <w:p w14:paraId="22CC5B2B">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32.3.1中小企业定义：</w:t>
      </w:r>
    </w:p>
    <w:p w14:paraId="1B4C1F1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A4825D6">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32.3.2供应商提供的货物、工程或者服务符合下列情形的，享受中小企业扶持政策：</w:t>
      </w:r>
    </w:p>
    <w:p w14:paraId="3ECE3E3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32.3.2.1在货物采购项目中，货物由中小企业制造，即货物由中小企业生产且使用该中小企业商号或者注册商标；</w:t>
      </w:r>
    </w:p>
    <w:p w14:paraId="7D6BE0B2">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32.3.2.2在工程采购项目中，工程由中小企业承建，即工程施工单位为中小企业；</w:t>
      </w:r>
    </w:p>
    <w:p w14:paraId="7EA84D9E">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32.3.2.3在服务采购项目中，服务由中小企业承接，即提供服务的人员为中小企业依照《中华人民共和国劳动合同法》订立劳动合同的从业人员。</w:t>
      </w:r>
    </w:p>
    <w:p w14:paraId="60B8765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32.3.3在货物采购项目中，供应商提供的货物既有中小企业制造货物，也有大型企业制造货物的，不享受中小企业扶持政策。</w:t>
      </w:r>
    </w:p>
    <w:p w14:paraId="778DC91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32.3.4以联合体形式参加政府采购活动，联合体各方均为中小企业的，联合体视同中小企业。其中，联合体各方均为小微企业的，联合体视同小微企业。</w:t>
      </w:r>
    </w:p>
    <w:p w14:paraId="7A730582">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395B131">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32.3.6残疾人福利单位定义：享受政府采购支持政策的残疾人福利性单位应当同时满足以下条件：</w:t>
      </w:r>
    </w:p>
    <w:p w14:paraId="7013755E">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32.3.6.1安置的残疾人占本单位在职职工人数的比例不低于25%（含25%），并且安置的残疾人人数不少于10 人（含10 人）；</w:t>
      </w:r>
    </w:p>
    <w:p w14:paraId="181C79E5">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32.3.6.2依法与安置的每位残疾人签订了一年以上（含一年）的劳动合同或服务协议；</w:t>
      </w:r>
    </w:p>
    <w:p w14:paraId="0EE02A57">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32.3.6.3为安置的每位残疾人按月足额缴纳了基本养老保险、基本医疗保险、失业保险、工伤保险和生育保险等社会保险费；</w:t>
      </w:r>
    </w:p>
    <w:p w14:paraId="23697245">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32.3.6.4通过银行等金融机构向安置的每位残疾人，按月支付了不低于单位所在区县适用的经省级人民政府批准的月最低工资标准的工资；</w:t>
      </w:r>
    </w:p>
    <w:p w14:paraId="19C70BD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32.3.6.5提供本单位制造的货物、承担的工程或者服务（以下简称产品），或者提供其他残疾人福利性单位制造的货物（不包括使用非残疾人福利性单位注册商标的货物）；</w:t>
      </w:r>
    </w:p>
    <w:p w14:paraId="0ABDE8F0">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49F56EF">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32.3.7本项目是否专门面向中小企业预留采购份额见第一章《招标公告》。</w:t>
      </w:r>
    </w:p>
    <w:p w14:paraId="5546B87B">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32.3.8采购标的对应的中小企业划分标准所属行业见第四章《采购需求》。</w:t>
      </w:r>
    </w:p>
    <w:p w14:paraId="07F32767">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32.3.9小微企业价格评审优惠的政策：见第五章《评标方法和评标标准》。</w:t>
      </w:r>
    </w:p>
    <w:p w14:paraId="5BE3A15E">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32.4政府采购节能产品、环境标志产品</w:t>
      </w:r>
    </w:p>
    <w:p w14:paraId="43233E75">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2AB5BDB">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0BF718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32.5绿色包装</w:t>
      </w:r>
    </w:p>
    <w:p w14:paraId="7BFFAA0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564A68E">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32.6政府采购创新产品</w:t>
      </w:r>
    </w:p>
    <w:p w14:paraId="34A87DC6">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采购人优先采购各级政府部门公开发布的有效期内的创新产品、创新服务、首台套、首购首用等《目录》的创新产品。</w:t>
      </w:r>
    </w:p>
    <w:p w14:paraId="59C46B59">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 xml:space="preserve">32.7绿色数据中心政策 </w:t>
      </w:r>
    </w:p>
    <w:p w14:paraId="1BBBC14B">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074B87D">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32.8履约保证金政策</w:t>
      </w:r>
    </w:p>
    <w:p w14:paraId="5A42D8D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确需收取履约保证金的，履约保证金的缴纳形式：</w:t>
      </w:r>
    </w:p>
    <w:p w14:paraId="6D5AD7BD">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B8E2E86">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如以履约保函（保险）形式缴纳履约保证金，供应商可通过政府采购电子履约保函（保险）平台（www.jsdzbh.com）在线申请履约保函（保险）。</w:t>
      </w:r>
    </w:p>
    <w:p w14:paraId="7FB1ACA3">
      <w:pPr>
        <w:pStyle w:val="32"/>
        <w:spacing w:beforeAutospacing="0" w:afterAutospacing="0" w:line="360" w:lineRule="auto"/>
        <w:ind w:firstLine="420"/>
        <w:jc w:val="both"/>
        <w:rPr>
          <w:rFonts w:ascii="宋体" w:hAnsi="宋体" w:eastAsia="宋体" w:cs="宋体"/>
          <w:color w:val="auto"/>
          <w:sz w:val="21"/>
          <w:szCs w:val="21"/>
        </w:rPr>
      </w:pPr>
      <w:r>
        <w:rPr>
          <w:rFonts w:hint="eastAsia" w:ascii="宋体" w:hAnsi="宋体" w:eastAsia="宋体" w:cs="宋体"/>
          <w:color w:val="auto"/>
          <w:sz w:val="21"/>
          <w:szCs w:val="21"/>
        </w:rPr>
        <w:t>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w:t>
      </w:r>
    </w:p>
    <w:p w14:paraId="34977729">
      <w:pPr>
        <w:pStyle w:val="32"/>
        <w:spacing w:beforeAutospacing="0" w:afterAutospacing="0" w:line="360" w:lineRule="auto"/>
        <w:ind w:firstLine="420"/>
        <w:jc w:val="both"/>
        <w:rPr>
          <w:rFonts w:ascii="宋体" w:hAnsi="宋体" w:eastAsia="宋体" w:cs="宋体"/>
          <w:color w:val="auto"/>
          <w:sz w:val="21"/>
          <w:szCs w:val="21"/>
        </w:rPr>
      </w:pPr>
      <w:r>
        <w:rPr>
          <w:rFonts w:hint="eastAsia" w:ascii="宋体" w:hAnsi="宋体" w:eastAsia="宋体" w:cs="宋体"/>
          <w:color w:val="auto"/>
          <w:sz w:val="21"/>
          <w:szCs w:val="21"/>
        </w:rPr>
        <w:t>33. 预付款制度</w:t>
      </w:r>
    </w:p>
    <w:p w14:paraId="600FD9EF">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本项目落实预付款制度，预付款比例为</w:t>
      </w:r>
      <w:r>
        <w:rPr>
          <w:rFonts w:hint="eastAsia" w:ascii="宋体" w:hAnsi="宋体" w:eastAsia="宋体" w:cs="宋体"/>
          <w:color w:val="auto"/>
          <w:sz w:val="21"/>
          <w:szCs w:val="21"/>
          <w:u w:val="single"/>
        </w:rPr>
        <w:t>30</w:t>
      </w:r>
      <w:r>
        <w:rPr>
          <w:rFonts w:hint="eastAsia" w:ascii="宋体" w:hAnsi="宋体" w:eastAsia="宋体" w:cs="宋体"/>
          <w:color w:val="auto"/>
          <w:sz w:val="21"/>
          <w:szCs w:val="21"/>
        </w:rPr>
        <w:t>%（原则上不低于合同金额的30%）。在签订合同时，中标、成交供应商明确书面表示无需预付款或者主动要求降低预付款比例的，采购人可就预付款比例作相应调整。</w:t>
      </w:r>
    </w:p>
    <w:p w14:paraId="1D5472F0">
      <w:pPr>
        <w:pStyle w:val="32"/>
        <w:numPr>
          <w:ilvl w:val="0"/>
          <w:numId w:val="3"/>
        </w:numPr>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工期：</w:t>
      </w:r>
      <w:r>
        <w:rPr>
          <w:rFonts w:hint="eastAsia" w:ascii="宋体" w:hAnsi="宋体" w:eastAsia="宋体" w:cs="宋体"/>
          <w:color w:val="auto"/>
          <w:sz w:val="21"/>
          <w:szCs w:val="21"/>
          <w:u w:val="single"/>
        </w:rPr>
        <w:t>10</w:t>
      </w:r>
      <w:r>
        <w:rPr>
          <w:rFonts w:hint="eastAsia" w:ascii="宋体" w:hAnsi="宋体" w:eastAsia="宋体" w:cs="宋体"/>
          <w:color w:val="auto"/>
          <w:sz w:val="21"/>
          <w:szCs w:val="21"/>
        </w:rPr>
        <w:t>个自然日</w:t>
      </w:r>
    </w:p>
    <w:p w14:paraId="365E4437">
      <w:pPr>
        <w:pStyle w:val="32"/>
        <w:spacing w:beforeAutospacing="0" w:afterAutospacing="0" w:line="360" w:lineRule="auto"/>
        <w:ind w:firstLine="480"/>
        <w:jc w:val="both"/>
        <w:rPr>
          <w:rFonts w:ascii="宋体" w:hAnsi="宋体" w:eastAsia="宋体" w:cs="宋体"/>
          <w:color w:val="auto"/>
          <w:sz w:val="21"/>
          <w:szCs w:val="21"/>
        </w:rPr>
      </w:pPr>
    </w:p>
    <w:p w14:paraId="67A6C3B7">
      <w:pPr>
        <w:pStyle w:val="32"/>
        <w:spacing w:beforeAutospacing="0" w:afterAutospacing="0"/>
        <w:jc w:val="both"/>
        <w:rPr>
          <w:rFonts w:ascii="宋体" w:hAnsi="宋体" w:eastAsia="宋体" w:cs="宋体"/>
          <w:color w:val="auto"/>
        </w:rPr>
      </w:pPr>
      <w:r>
        <w:rPr>
          <w:rFonts w:hint="eastAsia" w:ascii="宋体" w:hAnsi="宋体" w:eastAsia="宋体" w:cs="宋体"/>
          <w:color w:val="auto"/>
        </w:rPr>
        <w:t> </w:t>
      </w:r>
    </w:p>
    <w:p w14:paraId="07AC04D1">
      <w:pPr>
        <w:pStyle w:val="32"/>
        <w:spacing w:beforeAutospacing="0" w:afterAutospacing="0"/>
        <w:jc w:val="both"/>
        <w:rPr>
          <w:rFonts w:ascii="宋体" w:hAnsi="宋体" w:eastAsia="宋体" w:cs="宋体"/>
          <w:color w:val="auto"/>
        </w:rPr>
      </w:pPr>
      <w:r>
        <w:rPr>
          <w:rFonts w:hint="eastAsia" w:ascii="宋体" w:hAnsi="宋体" w:eastAsia="宋体" w:cs="宋体"/>
          <w:color w:val="auto"/>
        </w:rPr>
        <w:t> </w:t>
      </w:r>
    </w:p>
    <w:p w14:paraId="1EFD160F">
      <w:pPr>
        <w:pStyle w:val="32"/>
        <w:spacing w:beforeAutospacing="0" w:afterAutospacing="0"/>
        <w:jc w:val="both"/>
        <w:rPr>
          <w:rFonts w:ascii="宋体" w:hAnsi="宋体" w:eastAsia="宋体" w:cs="宋体"/>
          <w:color w:val="auto"/>
        </w:rPr>
      </w:pPr>
      <w:r>
        <w:rPr>
          <w:rFonts w:hint="eastAsia" w:ascii="宋体" w:hAnsi="宋体" w:eastAsia="宋体" w:cs="宋体"/>
          <w:color w:val="auto"/>
        </w:rPr>
        <w:t> </w:t>
      </w:r>
    </w:p>
    <w:p w14:paraId="6814161F">
      <w:pPr>
        <w:pStyle w:val="32"/>
        <w:spacing w:beforeAutospacing="0" w:afterAutospacing="0"/>
        <w:jc w:val="both"/>
        <w:rPr>
          <w:rFonts w:ascii="宋体" w:hAnsi="宋体" w:eastAsia="宋体" w:cs="宋体"/>
          <w:color w:val="auto"/>
        </w:rPr>
      </w:pPr>
      <w:r>
        <w:rPr>
          <w:rFonts w:hint="eastAsia" w:ascii="宋体" w:hAnsi="宋体" w:eastAsia="宋体" w:cs="宋体"/>
          <w:color w:val="auto"/>
        </w:rPr>
        <w:t> </w:t>
      </w:r>
    </w:p>
    <w:p w14:paraId="1957DFDD">
      <w:pPr>
        <w:pStyle w:val="32"/>
        <w:spacing w:beforeAutospacing="0" w:afterAutospacing="0"/>
        <w:jc w:val="both"/>
        <w:rPr>
          <w:rFonts w:ascii="宋体" w:hAnsi="宋体" w:eastAsia="宋体" w:cs="宋体"/>
          <w:color w:val="auto"/>
        </w:rPr>
      </w:pPr>
      <w:r>
        <w:rPr>
          <w:rFonts w:hint="eastAsia" w:ascii="宋体" w:hAnsi="宋体" w:eastAsia="宋体" w:cs="宋体"/>
          <w:color w:val="auto"/>
        </w:rPr>
        <w:t> </w:t>
      </w:r>
    </w:p>
    <w:p w14:paraId="44D0D0AD">
      <w:pPr>
        <w:pStyle w:val="32"/>
        <w:spacing w:beforeAutospacing="0" w:afterAutospacing="0"/>
        <w:jc w:val="both"/>
        <w:rPr>
          <w:rFonts w:ascii="宋体" w:hAnsi="宋体" w:eastAsia="宋体" w:cs="宋体"/>
          <w:color w:val="auto"/>
        </w:rPr>
      </w:pPr>
      <w:r>
        <w:rPr>
          <w:rFonts w:hint="eastAsia" w:ascii="宋体" w:hAnsi="宋体" w:eastAsia="宋体" w:cs="宋体"/>
          <w:color w:val="auto"/>
        </w:rPr>
        <w:t> </w:t>
      </w:r>
    </w:p>
    <w:p w14:paraId="1DC7811A">
      <w:pPr>
        <w:pStyle w:val="32"/>
        <w:spacing w:beforeAutospacing="0" w:afterAutospacing="0"/>
        <w:jc w:val="both"/>
        <w:rPr>
          <w:rFonts w:ascii="宋体" w:hAnsi="宋体" w:eastAsia="宋体" w:cs="宋体"/>
          <w:color w:val="auto"/>
        </w:rPr>
      </w:pPr>
    </w:p>
    <w:p w14:paraId="3E775A5C">
      <w:pPr>
        <w:pStyle w:val="32"/>
        <w:keepNext/>
        <w:spacing w:beforeAutospacing="0" w:afterAutospacing="0"/>
        <w:jc w:val="center"/>
        <w:rPr>
          <w:rFonts w:ascii="黑体" w:hAnsi="宋体" w:eastAsia="黑体" w:cs="黑体"/>
          <w:color w:val="auto"/>
          <w:sz w:val="44"/>
          <w:szCs w:val="44"/>
        </w:rPr>
      </w:pPr>
    </w:p>
    <w:p w14:paraId="36C22383">
      <w:pPr>
        <w:rPr>
          <w:rFonts w:ascii="黑体" w:hAnsi="宋体" w:eastAsia="黑体" w:cs="黑体"/>
          <w:color w:val="auto"/>
          <w:sz w:val="44"/>
          <w:szCs w:val="44"/>
        </w:rPr>
      </w:pPr>
      <w:r>
        <w:rPr>
          <w:rFonts w:hint="eastAsia" w:ascii="黑体" w:hAnsi="宋体" w:eastAsia="黑体" w:cs="黑体"/>
          <w:color w:val="auto"/>
          <w:sz w:val="44"/>
          <w:szCs w:val="44"/>
        </w:rPr>
        <w:br w:type="page" w:clear="all"/>
      </w:r>
    </w:p>
    <w:p w14:paraId="095A4646">
      <w:pPr>
        <w:widowControl/>
        <w:spacing w:line="360" w:lineRule="auto"/>
        <w:jc w:val="center"/>
        <w:outlineLvl w:val="0"/>
        <w:rPr>
          <w:rFonts w:ascii="宋体" w:hAnsi="宋体" w:cs="宋体"/>
          <w:color w:val="auto"/>
          <w:sz w:val="30"/>
        </w:rPr>
      </w:pPr>
      <w:bookmarkStart w:id="175" w:name="_Toc16938559"/>
      <w:bookmarkStart w:id="176" w:name="_Toc513029243"/>
      <w:bookmarkStart w:id="177" w:name="_Toc20823315"/>
      <w:r>
        <w:rPr>
          <w:rFonts w:hint="eastAsia" w:ascii="宋体" w:hAnsi="宋体" w:cs="宋体"/>
          <w:b/>
          <w:color w:val="auto"/>
          <w:sz w:val="48"/>
          <w:szCs w:val="44"/>
        </w:rPr>
        <w:t>第三章  合同条款</w:t>
      </w:r>
    </w:p>
    <w:p w14:paraId="1E67394B">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以下为中标后签订本项目合同的通用条款，中标人不得提出实质性的修改。</w:t>
      </w:r>
      <w:bookmarkEnd w:id="175"/>
      <w:bookmarkEnd w:id="176"/>
      <w:bookmarkEnd w:id="177"/>
      <w:r>
        <w:rPr>
          <w:color w:val="auto"/>
          <w:sz w:val="21"/>
          <w:szCs w:val="21"/>
        </w:rPr>
        <w:t> </w:t>
      </w:r>
    </w:p>
    <w:p w14:paraId="3391C8FB">
      <w:pPr>
        <w:pStyle w:val="32"/>
        <w:spacing w:before="145" w:beforeAutospacing="0" w:after="145" w:afterAutospacing="0" w:line="360" w:lineRule="auto"/>
        <w:jc w:val="center"/>
        <w:rPr>
          <w:color w:val="auto"/>
          <w:sz w:val="21"/>
          <w:szCs w:val="21"/>
        </w:rPr>
      </w:pPr>
      <w:r>
        <w:rPr>
          <w:rFonts w:hint="eastAsia" w:ascii="宋体" w:hAnsi="宋体" w:eastAsia="宋体" w:cs="宋体"/>
          <w:b/>
          <w:color w:val="auto"/>
          <w:sz w:val="21"/>
          <w:szCs w:val="21"/>
        </w:rPr>
        <w:t>盐城市政府采购合同（服务）（合同编号）</w:t>
      </w:r>
    </w:p>
    <w:p w14:paraId="1F22C817">
      <w:pPr>
        <w:pStyle w:val="32"/>
        <w:spacing w:before="120" w:beforeAutospacing="0" w:after="12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项目名称：盐城市公安局</w:t>
      </w:r>
      <w:r>
        <w:rPr>
          <w:rFonts w:hint="eastAsia" w:ascii="宋体" w:hAnsi="宋体" w:eastAsia="宋体" w:cs="宋体"/>
          <w:color w:val="auto"/>
          <w:sz w:val="21"/>
          <w:szCs w:val="21"/>
          <w:lang w:eastAsia="zh-CN"/>
        </w:rPr>
        <w:t>侦查研判类</w:t>
      </w:r>
      <w:r>
        <w:rPr>
          <w:rFonts w:hint="eastAsia" w:ascii="宋体" w:hAnsi="宋体" w:eastAsia="宋体" w:cs="宋体"/>
          <w:color w:val="auto"/>
          <w:sz w:val="21"/>
          <w:szCs w:val="21"/>
        </w:rPr>
        <w:t>互联网数据支撑服务项目（2026年服务）</w:t>
      </w:r>
    </w:p>
    <w:p w14:paraId="69860D7A">
      <w:pPr>
        <w:pStyle w:val="32"/>
        <w:spacing w:before="120" w:beforeAutospacing="0" w:after="120" w:afterAutospacing="0" w:line="360" w:lineRule="auto"/>
        <w:jc w:val="both"/>
        <w:rPr>
          <w:color w:val="auto"/>
          <w:sz w:val="21"/>
          <w:szCs w:val="21"/>
        </w:rPr>
      </w:pPr>
      <w:r>
        <w:rPr>
          <w:rFonts w:hint="eastAsia" w:ascii="宋体" w:hAnsi="宋体" w:eastAsia="宋体" w:cs="宋体"/>
          <w:color w:val="auto"/>
          <w:sz w:val="21"/>
          <w:szCs w:val="21"/>
        </w:rPr>
        <w:t>项目编号：</w:t>
      </w:r>
    </w:p>
    <w:p w14:paraId="5ED553EB">
      <w:pPr>
        <w:pStyle w:val="32"/>
        <w:spacing w:before="120" w:beforeAutospacing="0" w:after="120" w:afterAutospacing="0" w:line="360" w:lineRule="auto"/>
        <w:jc w:val="both"/>
        <w:rPr>
          <w:color w:val="auto"/>
          <w:sz w:val="21"/>
          <w:szCs w:val="21"/>
        </w:rPr>
      </w:pPr>
      <w:r>
        <w:rPr>
          <w:rFonts w:hint="eastAsia" w:ascii="宋体" w:hAnsi="宋体" w:eastAsia="宋体" w:cs="宋体"/>
          <w:color w:val="auto"/>
          <w:sz w:val="21"/>
          <w:szCs w:val="21"/>
        </w:rPr>
        <w:t>甲方：（买方）</w:t>
      </w:r>
      <w:r>
        <w:rPr>
          <w:rFonts w:hint="eastAsia" w:ascii="宋体" w:hAnsi="宋体" w:eastAsia="宋体" w:cs="宋体"/>
          <w:color w:val="auto"/>
          <w:sz w:val="21"/>
          <w:szCs w:val="21"/>
          <w:u w:val="single"/>
        </w:rPr>
        <w:t>盐城市公安局</w:t>
      </w:r>
    </w:p>
    <w:p w14:paraId="4E09185F">
      <w:pPr>
        <w:pStyle w:val="32"/>
        <w:spacing w:before="120" w:beforeAutospacing="0" w:after="120" w:afterAutospacing="0" w:line="360" w:lineRule="auto"/>
        <w:jc w:val="both"/>
        <w:rPr>
          <w:rFonts w:eastAsia="宋体"/>
          <w:color w:val="auto"/>
          <w:sz w:val="21"/>
          <w:szCs w:val="21"/>
        </w:rPr>
      </w:pPr>
      <w:r>
        <w:rPr>
          <w:rFonts w:hint="eastAsia" w:ascii="宋体" w:hAnsi="宋体" w:eastAsia="宋体" w:cs="宋体"/>
          <w:color w:val="auto"/>
          <w:sz w:val="21"/>
          <w:szCs w:val="21"/>
        </w:rPr>
        <w:t>乙方：（卖方）____________</w:t>
      </w:r>
    </w:p>
    <w:p w14:paraId="2F6A48D0">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甲、乙双方根据</w:t>
      </w:r>
      <w:r>
        <w:rPr>
          <w:rFonts w:hint="eastAsia" w:ascii="宋体" w:hAnsi="宋体" w:eastAsia="宋体" w:cs="宋体"/>
          <w:color w:val="auto"/>
          <w:sz w:val="21"/>
          <w:szCs w:val="21"/>
          <w:u w:val="single"/>
        </w:rPr>
        <w:t>盐城市公安局</w:t>
      </w:r>
      <w:r>
        <w:rPr>
          <w:rFonts w:hint="eastAsia" w:ascii="宋体" w:hAnsi="宋体" w:eastAsia="宋体" w:cs="宋体"/>
          <w:color w:val="auto"/>
          <w:sz w:val="21"/>
          <w:szCs w:val="21"/>
          <w:u w:val="single"/>
          <w:lang w:eastAsia="zh-CN"/>
        </w:rPr>
        <w:t>侦查研判类</w:t>
      </w:r>
      <w:r>
        <w:rPr>
          <w:rFonts w:hint="eastAsia" w:ascii="宋体" w:hAnsi="宋体" w:eastAsia="宋体" w:cs="宋体"/>
          <w:color w:val="auto"/>
          <w:sz w:val="21"/>
          <w:szCs w:val="21"/>
          <w:u w:val="single"/>
        </w:rPr>
        <w:t>互联网数据支撑服务项目（2026年服务）</w:t>
      </w:r>
      <w:r>
        <w:rPr>
          <w:rFonts w:hint="eastAsia" w:ascii="宋体" w:hAnsi="宋体" w:eastAsia="宋体" w:cs="宋体"/>
          <w:color w:val="auto"/>
          <w:sz w:val="21"/>
          <w:szCs w:val="21"/>
        </w:rPr>
        <w:t>公开招标的结果，签署本合同。</w:t>
      </w:r>
    </w:p>
    <w:p w14:paraId="3ED38573">
      <w:pPr>
        <w:pStyle w:val="32"/>
        <w:spacing w:beforeAutospacing="0" w:afterAutospacing="0" w:line="360" w:lineRule="auto"/>
        <w:ind w:firstLine="480"/>
        <w:jc w:val="both"/>
        <w:rPr>
          <w:rFonts w:ascii="宋体" w:hAnsi="宋体" w:eastAsia="宋体" w:cs="宋体"/>
          <w:b/>
          <w:bCs/>
          <w:color w:val="auto"/>
          <w:sz w:val="21"/>
          <w:szCs w:val="21"/>
        </w:rPr>
      </w:pPr>
      <w:r>
        <w:rPr>
          <w:rFonts w:hint="eastAsia" w:ascii="宋体" w:hAnsi="宋体" w:eastAsia="宋体" w:cs="宋体"/>
          <w:b/>
          <w:bCs/>
          <w:color w:val="auto"/>
          <w:sz w:val="21"/>
          <w:szCs w:val="21"/>
        </w:rPr>
        <w:t>一、合同内容</w:t>
      </w:r>
    </w:p>
    <w:p w14:paraId="2FB1140C">
      <w:pPr>
        <w:pStyle w:val="32"/>
        <w:spacing w:beforeAutospacing="0" w:afterAutospacing="0" w:line="360" w:lineRule="auto"/>
        <w:ind w:firstLine="480"/>
        <w:jc w:val="both"/>
        <w:rPr>
          <w:rFonts w:ascii="宋体" w:hAnsi="宋体" w:eastAsia="宋体" w:cs="宋体"/>
          <w:color w:val="auto"/>
          <w:sz w:val="21"/>
          <w:szCs w:val="21"/>
          <w:lang w:val="zh-CN"/>
        </w:rPr>
      </w:pPr>
      <w:r>
        <w:rPr>
          <w:rFonts w:hint="eastAsia" w:ascii="宋体" w:hAnsi="宋体" w:eastAsia="宋体" w:cs="宋体"/>
          <w:color w:val="auto"/>
          <w:sz w:val="21"/>
          <w:szCs w:val="21"/>
        </w:rPr>
        <w:t>1.</w:t>
      </w:r>
      <w:r>
        <w:rPr>
          <w:rFonts w:hint="eastAsia" w:ascii="宋体" w:hAnsi="宋体" w:eastAsia="宋体" w:cs="宋体"/>
          <w:color w:val="auto"/>
          <w:sz w:val="21"/>
          <w:szCs w:val="21"/>
          <w:lang w:val="zh-CN"/>
        </w:rPr>
        <w:t>详见附件《分项报价表》</w:t>
      </w:r>
    </w:p>
    <w:p w14:paraId="371F711E">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bCs/>
          <w:color w:val="auto"/>
          <w:sz w:val="21"/>
          <w:szCs w:val="21"/>
        </w:rPr>
        <w:t>2.</w:t>
      </w:r>
      <w:r>
        <w:rPr>
          <w:rFonts w:hint="eastAsia" w:ascii="宋体" w:hAnsi="宋体" w:eastAsia="宋体" w:cs="宋体"/>
          <w:color w:val="auto"/>
          <w:sz w:val="21"/>
          <w:szCs w:val="21"/>
        </w:rPr>
        <w:t>服务期限：合同服务期1年。</w:t>
      </w:r>
    </w:p>
    <w:p w14:paraId="68759243">
      <w:pPr>
        <w:pStyle w:val="32"/>
        <w:spacing w:beforeAutospacing="0" w:afterAutospacing="0" w:line="360" w:lineRule="auto"/>
        <w:ind w:firstLine="480"/>
        <w:jc w:val="both"/>
        <w:rPr>
          <w:color w:val="auto"/>
          <w:sz w:val="21"/>
          <w:szCs w:val="21"/>
        </w:rPr>
      </w:pPr>
      <w:r>
        <w:rPr>
          <w:rFonts w:hint="eastAsia" w:ascii="宋体" w:hAnsi="宋体" w:eastAsia="宋体" w:cs="宋体"/>
          <w:b/>
          <w:color w:val="auto"/>
          <w:sz w:val="21"/>
          <w:szCs w:val="21"/>
        </w:rPr>
        <w:t>二、合同金额</w:t>
      </w:r>
    </w:p>
    <w:p w14:paraId="0B993BDA">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本合同金额为（大写）：________________________圆（_______________元）人民币。</w:t>
      </w:r>
    </w:p>
    <w:p w14:paraId="0F740364">
      <w:pPr>
        <w:pStyle w:val="32"/>
        <w:spacing w:beforeAutospacing="0" w:afterAutospacing="0" w:line="360" w:lineRule="auto"/>
        <w:ind w:firstLine="480"/>
        <w:jc w:val="both"/>
        <w:rPr>
          <w:color w:val="auto"/>
          <w:sz w:val="21"/>
          <w:szCs w:val="21"/>
        </w:rPr>
      </w:pPr>
      <w:r>
        <w:rPr>
          <w:rFonts w:hint="eastAsia" w:ascii="宋体" w:hAnsi="宋体" w:eastAsia="宋体" w:cs="宋体"/>
          <w:b/>
          <w:color w:val="auto"/>
          <w:sz w:val="21"/>
          <w:szCs w:val="21"/>
        </w:rPr>
        <w:t>三、技术资料</w:t>
      </w:r>
    </w:p>
    <w:p w14:paraId="18DEAFD0">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3.1乙方应按招标文件规定的时间向甲方提供服务（包含与服务相关的货物）的有关技术资料。</w:t>
      </w:r>
    </w:p>
    <w:p w14:paraId="56F41DF8">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24D8933">
      <w:pPr>
        <w:pStyle w:val="32"/>
        <w:spacing w:beforeAutospacing="0" w:afterAutospacing="0" w:line="360" w:lineRule="auto"/>
        <w:ind w:firstLine="480"/>
        <w:jc w:val="both"/>
        <w:rPr>
          <w:color w:val="auto"/>
          <w:sz w:val="21"/>
          <w:szCs w:val="21"/>
        </w:rPr>
      </w:pPr>
      <w:r>
        <w:rPr>
          <w:rFonts w:hint="eastAsia" w:ascii="宋体" w:hAnsi="宋体" w:eastAsia="宋体" w:cs="宋体"/>
          <w:b/>
          <w:color w:val="auto"/>
          <w:sz w:val="21"/>
          <w:szCs w:val="21"/>
        </w:rPr>
        <w:t>四、知识产权</w:t>
      </w:r>
    </w:p>
    <w:p w14:paraId="45C1360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4.1乙方应保证甲方在使用、接受本合同服务（包含与服务相关的货物）或其任何一部分时不受第三方提出侵犯其专利权、版权、商标权和工业设计权等知识产权的起诉。一旦出现侵权，由乙方负全部责任。</w:t>
      </w:r>
    </w:p>
    <w:p w14:paraId="798D8217">
      <w:pPr>
        <w:pStyle w:val="32"/>
        <w:spacing w:beforeAutospacing="0" w:afterAutospacing="0" w:line="360" w:lineRule="auto"/>
        <w:ind w:firstLine="480"/>
        <w:jc w:val="both"/>
        <w:rPr>
          <w:color w:val="auto"/>
          <w:sz w:val="21"/>
          <w:szCs w:val="21"/>
        </w:rPr>
      </w:pPr>
      <w:r>
        <w:rPr>
          <w:rFonts w:hint="eastAsia" w:ascii="宋体" w:hAnsi="宋体" w:eastAsia="宋体" w:cs="宋体"/>
          <w:b/>
          <w:color w:val="auto"/>
          <w:sz w:val="21"/>
          <w:szCs w:val="21"/>
        </w:rPr>
        <w:t>五、产权担保</w:t>
      </w:r>
    </w:p>
    <w:p w14:paraId="78B6D951">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5.1乙方保证所交付的服务（包含与服务相关的货物）的所有权完全属于乙方且无任何抵押、查封等产权瑕疵。</w:t>
      </w:r>
    </w:p>
    <w:p w14:paraId="3101203A">
      <w:pPr>
        <w:pStyle w:val="32"/>
        <w:spacing w:beforeAutospacing="0" w:afterAutospacing="0" w:line="360" w:lineRule="auto"/>
        <w:ind w:firstLine="480"/>
        <w:jc w:val="both"/>
        <w:rPr>
          <w:color w:val="auto"/>
          <w:sz w:val="21"/>
          <w:szCs w:val="21"/>
        </w:rPr>
      </w:pPr>
      <w:r>
        <w:rPr>
          <w:rFonts w:hint="eastAsia" w:ascii="宋体" w:hAnsi="宋体" w:eastAsia="宋体" w:cs="宋体"/>
          <w:b/>
          <w:color w:val="auto"/>
          <w:sz w:val="21"/>
          <w:szCs w:val="21"/>
        </w:rPr>
        <w:t>六、履约保证金</w:t>
      </w:r>
    </w:p>
    <w:p w14:paraId="5B05C61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6.1乙方交纳人民币_________元作为本合同的履约保证金。</w:t>
      </w:r>
    </w:p>
    <w:p w14:paraId="6B84E8D9">
      <w:pPr>
        <w:spacing w:line="440" w:lineRule="exact"/>
        <w:ind w:firstLine="420"/>
        <w:rPr>
          <w:rFonts w:ascii="宋体" w:hAnsi="宋体" w:eastAsia="宋体" w:cs="宋体"/>
          <w:color w:val="auto"/>
          <w:szCs w:val="21"/>
        </w:rPr>
      </w:pPr>
      <w:r>
        <w:rPr>
          <w:rFonts w:hint="eastAsia" w:ascii="宋体" w:hAnsi="宋体" w:eastAsia="宋体" w:cs="宋体"/>
          <w:color w:val="auto"/>
          <w:szCs w:val="21"/>
        </w:rPr>
        <w:t>备注：履约保证金金额为合同金额的5%，乙方提供AA评级及以上政府采购信用管理部门备案的第三方信用报告，免收履约保证金。</w:t>
      </w:r>
    </w:p>
    <w:p w14:paraId="1A6908D5">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6.2确需收取履约保证金的，履约保证金的缴纳形式：</w:t>
      </w:r>
    </w:p>
    <w:p w14:paraId="23D288C1">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F677DD5">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6.2.2 如以履约保函（保险）形式缴纳履约保证金，供应商可通过政府采购电子履约保函（保险）平台（www.jsdzbh.com）在线申请履约保函（保险）。</w:t>
      </w:r>
    </w:p>
    <w:p w14:paraId="491EFCE2">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6.3合同履行结束后，甲方应及时退还交纳的履约保证金。</w:t>
      </w:r>
    </w:p>
    <w:p w14:paraId="79D31FCD">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6.4履约保证金的退还：</w:t>
      </w:r>
    </w:p>
    <w:p w14:paraId="193702C7">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6.4.1方式：退还至投标人缴纳履约保证金的账户。如为保函，在到期时自行失效。</w:t>
      </w:r>
    </w:p>
    <w:p w14:paraId="0A16857E">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6.4.2时间：验收合格且采购人收到发票后30日内。</w:t>
      </w:r>
    </w:p>
    <w:p w14:paraId="0A1C888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6.4.3条件：按合同要求全部履约完成并经采购人验收合格，且采购人收到中标人出具的发票。</w:t>
      </w:r>
    </w:p>
    <w:p w14:paraId="0D7F3A34">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6.4.4不予退还情形：</w:t>
      </w:r>
    </w:p>
    <w:p w14:paraId="7D2D415A">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除不可抗力情况外，投标人出现下列情形之一的，其履约保证金，招标人将视情节决定不予退还或部分不予退还。</w:t>
      </w:r>
    </w:p>
    <w:p w14:paraId="170590F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（1）中标人无正当理由拒绝签订合同的，或者在签订合同时向采购人提出附加条件或者更改合同实质性内容要求的；</w:t>
      </w:r>
    </w:p>
    <w:p w14:paraId="537BA15D">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（2）中标人不履行与采购人订立的合同的；</w:t>
      </w:r>
    </w:p>
    <w:p w14:paraId="05D57934">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（3）中标人所供货物或服务不符合招标文件规定要求的；</w:t>
      </w:r>
    </w:p>
    <w:p w14:paraId="388B17B0">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（4）中标人采取欺骗、弄虚作假方式投标的或与其它投标人串通投标的；</w:t>
      </w:r>
    </w:p>
    <w:p w14:paraId="654BF6FB">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（5）中标人将合同内容转包、违法分包的；</w:t>
      </w:r>
    </w:p>
    <w:p w14:paraId="45DE164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（6）中标人故意捏造事实或伪造证明材料，进行虚假恶意投诉或反映的。</w:t>
      </w:r>
    </w:p>
    <w:p w14:paraId="7E77B459">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6.4.5逾期退还的违约责任：采购人逾期无故未退还履约保证金的，按中国人民银行同期贷款基准利率上浮20%后的利率支付超期资金占用费，但因供应商自身原因导致无法及时退还的除外。</w:t>
      </w:r>
    </w:p>
    <w:p w14:paraId="406507B9">
      <w:pPr>
        <w:pStyle w:val="32"/>
        <w:spacing w:beforeAutospacing="0" w:afterAutospacing="0" w:line="360" w:lineRule="auto"/>
        <w:ind w:firstLine="480"/>
        <w:jc w:val="both"/>
        <w:rPr>
          <w:color w:val="auto"/>
          <w:sz w:val="21"/>
          <w:szCs w:val="21"/>
        </w:rPr>
      </w:pPr>
      <w:r>
        <w:rPr>
          <w:rFonts w:hint="eastAsia" w:ascii="宋体" w:hAnsi="宋体" w:eastAsia="宋体" w:cs="宋体"/>
          <w:b/>
          <w:color w:val="auto"/>
          <w:sz w:val="21"/>
          <w:szCs w:val="21"/>
        </w:rPr>
        <w:t>七、合同转包或分包</w:t>
      </w:r>
    </w:p>
    <w:p w14:paraId="1CBCF03E">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7.1乙方不得将合同标的转包给他人履行。</w:t>
      </w:r>
    </w:p>
    <w:p w14:paraId="3D515E8D">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7.2乙方不得将合同标的分包给他人履行。</w:t>
      </w:r>
    </w:p>
    <w:p w14:paraId="5FC7FD7B">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7.3乙方如有转包或未经甲方同意的分包行为，甲方有权解除合同。</w:t>
      </w:r>
    </w:p>
    <w:p w14:paraId="5F9F0FFA">
      <w:pPr>
        <w:pStyle w:val="32"/>
        <w:spacing w:beforeAutospacing="0" w:afterAutospacing="0" w:line="360" w:lineRule="auto"/>
        <w:ind w:firstLine="480"/>
        <w:jc w:val="both"/>
        <w:rPr>
          <w:color w:val="auto"/>
          <w:sz w:val="21"/>
          <w:szCs w:val="21"/>
        </w:rPr>
      </w:pPr>
      <w:r>
        <w:rPr>
          <w:rFonts w:hint="eastAsia" w:ascii="宋体" w:hAnsi="宋体" w:eastAsia="宋体" w:cs="宋体"/>
          <w:b/>
          <w:color w:val="auto"/>
          <w:sz w:val="21"/>
          <w:szCs w:val="21"/>
        </w:rPr>
        <w:t>八、合同款项支付</w:t>
      </w:r>
    </w:p>
    <w:p w14:paraId="77BC7507">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8.1合同款项的支付方式及进度安排</w:t>
      </w:r>
    </w:p>
    <w:p w14:paraId="56CCC043">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8.1.1 预付款支付时间：合同签订后，采购人收到预付款发票后10个工作日内，支付合同金额的30%。</w:t>
      </w:r>
    </w:p>
    <w:p w14:paraId="19D8F830">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8.1.2 尾款支付时间：正常服务满1年后一次性付清余款（无息）。</w:t>
      </w:r>
    </w:p>
    <w:p w14:paraId="3B05E6A3">
      <w:pPr>
        <w:pStyle w:val="32"/>
        <w:spacing w:beforeAutospacing="0" w:afterAutospacing="0" w:line="360" w:lineRule="auto"/>
        <w:ind w:firstLine="480"/>
        <w:jc w:val="both"/>
        <w:rPr>
          <w:color w:val="auto"/>
          <w:sz w:val="21"/>
          <w:szCs w:val="21"/>
        </w:rPr>
      </w:pPr>
      <w:r>
        <w:rPr>
          <w:rFonts w:hint="eastAsia" w:ascii="宋体" w:hAnsi="宋体" w:eastAsia="宋体" w:cs="宋体"/>
          <w:b/>
          <w:color w:val="auto"/>
          <w:sz w:val="21"/>
          <w:szCs w:val="21"/>
        </w:rPr>
        <w:t>九、税费</w:t>
      </w:r>
    </w:p>
    <w:p w14:paraId="1A36DCB3">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本合同执行中相关的一切税费均由乙方负担。</w:t>
      </w:r>
    </w:p>
    <w:p w14:paraId="43BCF4D0">
      <w:pPr>
        <w:pStyle w:val="32"/>
        <w:spacing w:beforeAutospacing="0" w:afterAutospacing="0" w:line="360" w:lineRule="auto"/>
        <w:ind w:firstLine="480"/>
        <w:jc w:val="both"/>
        <w:rPr>
          <w:rFonts w:ascii="宋体" w:hAnsi="宋体" w:eastAsia="宋体" w:cs="宋体"/>
          <w:b/>
          <w:bCs/>
          <w:color w:val="auto"/>
          <w:sz w:val="21"/>
          <w:szCs w:val="21"/>
        </w:rPr>
      </w:pPr>
      <w:r>
        <w:rPr>
          <w:rFonts w:hint="eastAsia" w:ascii="宋体" w:hAnsi="宋体" w:eastAsia="宋体" w:cs="宋体"/>
          <w:b/>
          <w:bCs/>
          <w:color w:val="auto"/>
          <w:sz w:val="21"/>
          <w:szCs w:val="21"/>
        </w:rPr>
        <w:t>十、项目验收</w:t>
      </w:r>
    </w:p>
    <w:p w14:paraId="26A69168">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10.1甲方依法组织履约验收工作。</w:t>
      </w:r>
    </w:p>
    <w:p w14:paraId="52618917">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如乙方未按约定时间完成验收，</w:t>
      </w:r>
      <w:r>
        <w:rPr>
          <w:rFonts w:hint="eastAsia" w:ascii="宋体" w:hAnsi="宋体" w:eastAsia="宋体" w:cs="宋体"/>
          <w:color w:val="auto"/>
          <w:sz w:val="21"/>
          <w:szCs w:val="21"/>
          <w:lang w:val="zh-CN"/>
        </w:rPr>
        <w:t>每逾期一日，应向甲方支付</w:t>
      </w:r>
      <w:r>
        <w:rPr>
          <w:rFonts w:hint="eastAsia" w:ascii="宋体" w:hAnsi="宋体" w:eastAsia="宋体" w:cs="宋体"/>
          <w:color w:val="auto"/>
          <w:sz w:val="21"/>
          <w:szCs w:val="21"/>
        </w:rPr>
        <w:t>500元/日</w:t>
      </w:r>
      <w:r>
        <w:rPr>
          <w:rFonts w:hint="eastAsia" w:ascii="宋体" w:hAnsi="宋体" w:eastAsia="宋体" w:cs="宋体"/>
          <w:color w:val="auto"/>
          <w:sz w:val="21"/>
          <w:szCs w:val="21"/>
          <w:lang w:val="zh-CN"/>
        </w:rPr>
        <w:t>的违约金，由甲方从待付</w:t>
      </w:r>
      <w:r>
        <w:rPr>
          <w:rFonts w:hint="eastAsia" w:ascii="宋体" w:hAnsi="宋体" w:eastAsia="宋体" w:cs="宋体"/>
          <w:color w:val="auto"/>
          <w:sz w:val="21"/>
          <w:szCs w:val="21"/>
        </w:rPr>
        <w:t>合同款项</w:t>
      </w:r>
      <w:r>
        <w:rPr>
          <w:rFonts w:hint="eastAsia" w:ascii="宋体" w:hAnsi="宋体" w:eastAsia="宋体" w:cs="宋体"/>
          <w:color w:val="auto"/>
          <w:sz w:val="21"/>
          <w:szCs w:val="21"/>
          <w:lang w:val="zh-CN"/>
        </w:rPr>
        <w:t>中扣除。</w:t>
      </w:r>
    </w:p>
    <w:p w14:paraId="1EAE283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10.3对于实际使用人和甲方分离的项目，甲方邀请实际使用人参与验收。</w:t>
      </w:r>
    </w:p>
    <w:p w14:paraId="076562DE">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10.4如有必要，甲方邀请参加本项目的其他供应商或第三方专业机构及专家参与验收，相关意见将作为验收书的参考资料。</w:t>
      </w:r>
    </w:p>
    <w:p w14:paraId="5E125EC3">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BBD44FF">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496FADC">
      <w:pPr>
        <w:pStyle w:val="32"/>
        <w:spacing w:beforeAutospacing="0" w:afterAutospacing="0" w:line="360" w:lineRule="auto"/>
        <w:ind w:firstLine="480"/>
        <w:jc w:val="both"/>
        <w:rPr>
          <w:rFonts w:ascii="宋体" w:hAnsi="宋体" w:eastAsia="宋体" w:cs="宋体"/>
          <w:b/>
          <w:bCs/>
          <w:color w:val="auto"/>
          <w:sz w:val="21"/>
          <w:szCs w:val="21"/>
        </w:rPr>
      </w:pPr>
      <w:bookmarkStart w:id="178" w:name="_Toc479757211"/>
      <w:bookmarkStart w:id="179" w:name="_Toc16938590"/>
      <w:bookmarkStart w:id="180" w:name="_Toc20823346"/>
      <w:bookmarkStart w:id="181" w:name="_Toc462564139"/>
      <w:bookmarkStart w:id="182" w:name="_Toc120614244"/>
      <w:bookmarkStart w:id="183" w:name="_Hlt16619350"/>
      <w:bookmarkStart w:id="184" w:name="_Hlt16619369"/>
      <w:r>
        <w:rPr>
          <w:rFonts w:hint="eastAsia" w:ascii="宋体" w:hAnsi="宋体" w:eastAsia="宋体" w:cs="宋体"/>
          <w:b/>
          <w:bCs/>
          <w:color w:val="auto"/>
          <w:sz w:val="21"/>
          <w:szCs w:val="21"/>
          <w:lang w:val="zh-CN"/>
        </w:rPr>
        <w:t>十</w:t>
      </w:r>
      <w:r>
        <w:rPr>
          <w:rFonts w:hint="eastAsia" w:ascii="宋体" w:hAnsi="宋体" w:eastAsia="宋体" w:cs="宋体"/>
          <w:b/>
          <w:bCs/>
          <w:color w:val="auto"/>
          <w:sz w:val="21"/>
          <w:szCs w:val="21"/>
        </w:rPr>
        <w:t>一</w:t>
      </w:r>
      <w:r>
        <w:rPr>
          <w:rFonts w:hint="eastAsia" w:ascii="宋体" w:hAnsi="宋体" w:eastAsia="宋体" w:cs="宋体"/>
          <w:b/>
          <w:bCs/>
          <w:color w:val="auto"/>
          <w:sz w:val="21"/>
          <w:szCs w:val="21"/>
          <w:lang w:val="zh-CN"/>
        </w:rPr>
        <w:t>、</w:t>
      </w:r>
      <w:r>
        <w:rPr>
          <w:rFonts w:hint="eastAsia" w:ascii="宋体" w:hAnsi="宋体" w:eastAsia="宋体" w:cs="宋体"/>
          <w:b/>
          <w:bCs/>
          <w:color w:val="auto"/>
          <w:sz w:val="21"/>
          <w:szCs w:val="21"/>
        </w:rPr>
        <w:t>安全要求</w:t>
      </w:r>
    </w:p>
    <w:p w14:paraId="09B5D77F">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11.1保密安全要求</w:t>
      </w:r>
    </w:p>
    <w:p w14:paraId="011BFE27">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乙方在信息化建设过程中，应配合甲方，落实如下安全保密要求。</w:t>
      </w:r>
    </w:p>
    <w:p w14:paraId="65D145E0">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（1）明确合作事项的安全保密责任人；</w:t>
      </w:r>
    </w:p>
    <w:p w14:paraId="4D45950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（2）对参与人员提出与合作事项有关的安全保密要求；</w:t>
      </w:r>
    </w:p>
    <w:p w14:paraId="0B79A5D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（3）及时清除离职、离岗或者不再参与公安信息化建设的员工持有的甲方文档资料、数据等内容；</w:t>
      </w:r>
    </w:p>
    <w:p w14:paraId="2C02BB5F">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（4）对本单位参与公安信息化建设安全保密责任落实情况进行年度评估，并向甲方提交评估报告；</w:t>
      </w:r>
    </w:p>
    <w:p w14:paraId="6195ACF2">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（5）在得知提供的产品、服务存在安全漏洞或者危害信息系统安全的潜在风险时，须第一时间报告甲方，并及时启动应急预案，提出解决方案；</w:t>
      </w:r>
    </w:p>
    <w:p w14:paraId="1C55FB37">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（6）乙方及其工作人员严禁未经批准翻阅、复印、拍摄甲方内部文件，或者将甲方内部文件带离指定办公场所或者区域；</w:t>
      </w:r>
    </w:p>
    <w:p w14:paraId="3D09562C">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（7）其他应当遵守的安全保密要求。</w:t>
      </w:r>
    </w:p>
    <w:p w14:paraId="5E356DA6">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11.2数据安全要求</w:t>
      </w:r>
    </w:p>
    <w:p w14:paraId="4DF21A89">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乙方及其工作人员在信息化建设过程中不得从事下列危害甲方数据安全的行为。</w:t>
      </w:r>
    </w:p>
    <w:p w14:paraId="614DE41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（1）违规下载、留存、使用公安内部数据；</w:t>
      </w:r>
    </w:p>
    <w:p w14:paraId="40FFA9E7">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（2）算改、毁损、泄露、出售公安内部数据；</w:t>
      </w:r>
    </w:p>
    <w:p w14:paraId="47004135">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（3）向境外机构和人员提供公安重要数据；</w:t>
      </w:r>
    </w:p>
    <w:p w14:paraId="7538D82E">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（4）在互联网上存储、处理、传输公安内部数据和应用系统源代码；</w:t>
      </w:r>
    </w:p>
    <w:p w14:paraId="1661808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（5）使用未经过脱敏的公安敏感数据在互联网上进行开发；</w:t>
      </w:r>
    </w:p>
    <w:p w14:paraId="727D6589">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（6）将公安数据用于商业用途；</w:t>
      </w:r>
    </w:p>
    <w:p w14:paraId="04FDC136">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（7）其他危害数据安全的行为。</w:t>
      </w:r>
    </w:p>
    <w:p w14:paraId="2E7FD217">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11.3网络应用安全要求</w:t>
      </w:r>
    </w:p>
    <w:p w14:paraId="54AAF87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乙方及其工作人员不得从事下列危害甲方网络和应用安全的行为。</w:t>
      </w:r>
    </w:p>
    <w:p w14:paraId="26A0CB25">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（1）违规将公安网络与任何外部网络连接；</w:t>
      </w:r>
    </w:p>
    <w:p w14:paraId="409C3226">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（2）擅自扫描、探测、入侵公安网络及应用系统；</w:t>
      </w:r>
    </w:p>
    <w:p w14:paraId="146349AF">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（3）设置应用系统后门、木马、病毒等恶意程序；</w:t>
      </w:r>
    </w:p>
    <w:p w14:paraId="5A519ED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（4）擅自将参与单位及参与人员的终端、移动存储介质、无线设备等与公安网络连接；</w:t>
      </w:r>
    </w:p>
    <w:p w14:paraId="7D70B824">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（5）擅自建立跨网、跨域数据传输或者运维通道；</w:t>
      </w:r>
    </w:p>
    <w:p w14:paraId="0F3C10CF">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（6）拆除、破坏公安监管设施或者卸载监管程序；</w:t>
      </w:r>
    </w:p>
    <w:p w14:paraId="285B6DB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（7）擅自对公安应用源文件、应用源代码进行反编译、加密、解密；</w:t>
      </w:r>
    </w:p>
    <w:p w14:paraId="1638F583">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（8）擅自公开与合作事项相关的技术实现方法或者业务模型等重要信息；</w:t>
      </w:r>
    </w:p>
    <w:p w14:paraId="62968999">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（9）其他危害公安网络和应用安全的行为。</w:t>
      </w:r>
    </w:p>
    <w:p w14:paraId="024492D5">
      <w:pPr>
        <w:pStyle w:val="32"/>
        <w:spacing w:beforeAutospacing="0" w:afterAutospacing="0" w:line="360" w:lineRule="auto"/>
        <w:ind w:firstLine="480"/>
        <w:jc w:val="both"/>
        <w:rPr>
          <w:rFonts w:ascii="宋体" w:hAnsi="宋体" w:eastAsia="宋体" w:cs="宋体"/>
          <w:b/>
          <w:bCs/>
          <w:color w:val="auto"/>
          <w:sz w:val="21"/>
          <w:szCs w:val="21"/>
          <w:lang w:val="zh-CN"/>
        </w:rPr>
      </w:pPr>
      <w:r>
        <w:rPr>
          <w:rFonts w:hint="eastAsia" w:ascii="宋体" w:hAnsi="宋体" w:eastAsia="宋体" w:cs="宋体"/>
          <w:b/>
          <w:bCs/>
          <w:color w:val="auto"/>
          <w:sz w:val="21"/>
          <w:szCs w:val="21"/>
          <w:lang w:val="zh-CN"/>
        </w:rPr>
        <w:t>十</w:t>
      </w:r>
      <w:r>
        <w:rPr>
          <w:rFonts w:hint="eastAsia" w:ascii="宋体" w:hAnsi="宋体" w:eastAsia="宋体" w:cs="宋体"/>
          <w:b/>
          <w:bCs/>
          <w:color w:val="auto"/>
          <w:sz w:val="21"/>
          <w:szCs w:val="21"/>
        </w:rPr>
        <w:t>二</w:t>
      </w:r>
      <w:r>
        <w:rPr>
          <w:rFonts w:hint="eastAsia" w:ascii="宋体" w:hAnsi="宋体" w:eastAsia="宋体" w:cs="宋体"/>
          <w:b/>
          <w:bCs/>
          <w:color w:val="auto"/>
          <w:sz w:val="21"/>
          <w:szCs w:val="21"/>
          <w:lang w:val="zh-CN"/>
        </w:rPr>
        <w:t>、违约责任</w:t>
      </w:r>
    </w:p>
    <w:p w14:paraId="4B038329">
      <w:pPr>
        <w:pStyle w:val="32"/>
        <w:spacing w:beforeAutospacing="0" w:afterAutospacing="0" w:line="360" w:lineRule="auto"/>
        <w:ind w:firstLine="480"/>
        <w:jc w:val="both"/>
        <w:rPr>
          <w:rFonts w:ascii="宋体" w:hAnsi="宋体" w:eastAsia="宋体" w:cs="宋体"/>
          <w:color w:val="auto"/>
          <w:sz w:val="21"/>
          <w:szCs w:val="21"/>
          <w:lang w:val="zh-CN"/>
        </w:rPr>
      </w:pPr>
      <w:r>
        <w:rPr>
          <w:rFonts w:hint="eastAsia" w:ascii="宋体" w:hAnsi="宋体" w:eastAsia="宋体" w:cs="宋体"/>
          <w:color w:val="auto"/>
          <w:sz w:val="21"/>
          <w:szCs w:val="21"/>
          <w:lang w:val="zh-CN"/>
        </w:rPr>
        <w:t>1</w:t>
      </w:r>
      <w:r>
        <w:rPr>
          <w:rFonts w:hint="eastAsia" w:ascii="宋体" w:hAnsi="宋体" w:eastAsia="宋体" w:cs="宋体"/>
          <w:color w:val="auto"/>
          <w:sz w:val="21"/>
          <w:szCs w:val="21"/>
        </w:rPr>
        <w:t>2</w:t>
      </w:r>
      <w:r>
        <w:rPr>
          <w:rFonts w:hint="eastAsia" w:ascii="宋体" w:hAnsi="宋体" w:eastAsia="宋体" w:cs="宋体"/>
          <w:color w:val="auto"/>
          <w:sz w:val="21"/>
          <w:szCs w:val="21"/>
          <w:lang w:val="zh-CN"/>
        </w:rPr>
        <w:t>.1甲方无正当理由拒收的，甲方向乙方偿付拒收货款总值的百分之五违约金。</w:t>
      </w:r>
    </w:p>
    <w:p w14:paraId="7D5A719D">
      <w:pPr>
        <w:pStyle w:val="32"/>
        <w:spacing w:beforeAutospacing="0" w:afterAutospacing="0" w:line="360" w:lineRule="auto"/>
        <w:ind w:firstLine="480"/>
        <w:jc w:val="both"/>
        <w:rPr>
          <w:rFonts w:ascii="宋体" w:hAnsi="宋体" w:eastAsia="宋体" w:cs="宋体"/>
          <w:color w:val="auto"/>
          <w:sz w:val="21"/>
          <w:szCs w:val="21"/>
          <w:lang w:val="zh-CN"/>
        </w:rPr>
      </w:pPr>
      <w:r>
        <w:rPr>
          <w:rFonts w:hint="eastAsia" w:ascii="宋体" w:hAnsi="宋体" w:eastAsia="宋体" w:cs="宋体"/>
          <w:color w:val="auto"/>
          <w:sz w:val="21"/>
          <w:szCs w:val="21"/>
          <w:lang w:val="zh-CN"/>
        </w:rPr>
        <w:t>1</w:t>
      </w:r>
      <w:r>
        <w:rPr>
          <w:rFonts w:hint="eastAsia" w:ascii="宋体" w:hAnsi="宋体" w:eastAsia="宋体" w:cs="宋体"/>
          <w:color w:val="auto"/>
          <w:sz w:val="21"/>
          <w:szCs w:val="21"/>
        </w:rPr>
        <w:t>2</w:t>
      </w:r>
      <w:r>
        <w:rPr>
          <w:rFonts w:hint="eastAsia" w:ascii="宋体" w:hAnsi="宋体" w:eastAsia="宋体" w:cs="宋体"/>
          <w:color w:val="auto"/>
          <w:sz w:val="21"/>
          <w:szCs w:val="21"/>
          <w:lang w:val="zh-CN"/>
        </w:rPr>
        <w:t>.2甲方无故逾期验收和办理货款支付手续的，甲方应按逾期付款总额每日万分之五向乙方支付违约金。</w:t>
      </w:r>
    </w:p>
    <w:p w14:paraId="7A663B94">
      <w:pPr>
        <w:pStyle w:val="32"/>
        <w:spacing w:beforeAutospacing="0" w:afterAutospacing="0" w:line="360" w:lineRule="auto"/>
        <w:ind w:firstLine="480"/>
        <w:jc w:val="both"/>
        <w:rPr>
          <w:rFonts w:ascii="宋体" w:hAnsi="宋体" w:eastAsia="宋体" w:cs="宋体"/>
          <w:color w:val="auto"/>
          <w:sz w:val="21"/>
          <w:szCs w:val="21"/>
          <w:lang w:val="zh-CN"/>
        </w:rPr>
      </w:pPr>
      <w:r>
        <w:rPr>
          <w:rFonts w:hint="eastAsia" w:ascii="宋体" w:hAnsi="宋体" w:eastAsia="宋体" w:cs="宋体"/>
          <w:color w:val="auto"/>
          <w:sz w:val="21"/>
          <w:szCs w:val="21"/>
        </w:rPr>
        <w:t>12</w:t>
      </w:r>
      <w:r>
        <w:rPr>
          <w:rFonts w:hint="eastAsia" w:ascii="宋体" w:hAnsi="宋体" w:eastAsia="宋体" w:cs="宋体"/>
          <w:color w:val="auto"/>
          <w:sz w:val="21"/>
          <w:szCs w:val="21"/>
          <w:lang w:val="zh-CN"/>
        </w:rPr>
        <w:t>.3乙方逾期交付</w:t>
      </w:r>
      <w:r>
        <w:rPr>
          <w:rFonts w:hint="eastAsia" w:ascii="宋体" w:hAnsi="宋体" w:eastAsia="宋体" w:cs="宋体"/>
          <w:color w:val="auto"/>
          <w:sz w:val="21"/>
          <w:szCs w:val="21"/>
        </w:rPr>
        <w:t>合同标的</w:t>
      </w:r>
      <w:r>
        <w:rPr>
          <w:rFonts w:hint="eastAsia" w:ascii="宋体" w:hAnsi="宋体" w:eastAsia="宋体" w:cs="宋体"/>
          <w:color w:val="auto"/>
          <w:sz w:val="21"/>
          <w:szCs w:val="21"/>
          <w:lang w:val="zh-CN"/>
        </w:rPr>
        <w:t>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p>
    <w:p w14:paraId="0004A13C">
      <w:pPr>
        <w:pStyle w:val="32"/>
        <w:spacing w:beforeAutospacing="0" w:afterAutospacing="0" w:line="360" w:lineRule="auto"/>
        <w:ind w:firstLine="480"/>
        <w:jc w:val="both"/>
        <w:rPr>
          <w:rFonts w:ascii="宋体" w:hAnsi="宋体" w:eastAsia="宋体" w:cs="宋体"/>
          <w:color w:val="auto"/>
          <w:sz w:val="21"/>
          <w:szCs w:val="21"/>
          <w:lang w:val="zh-CN"/>
        </w:rPr>
      </w:pPr>
      <w:r>
        <w:rPr>
          <w:rFonts w:hint="eastAsia" w:ascii="宋体" w:hAnsi="宋体" w:eastAsia="宋体" w:cs="宋体"/>
          <w:color w:val="auto"/>
          <w:sz w:val="21"/>
          <w:szCs w:val="21"/>
          <w:lang w:val="zh-CN"/>
        </w:rPr>
        <w:t>1</w:t>
      </w:r>
      <w:r>
        <w:rPr>
          <w:rFonts w:hint="eastAsia" w:ascii="宋体" w:hAnsi="宋体" w:eastAsia="宋体" w:cs="宋体"/>
          <w:color w:val="auto"/>
          <w:sz w:val="21"/>
          <w:szCs w:val="21"/>
        </w:rPr>
        <w:t>2</w:t>
      </w:r>
      <w:r>
        <w:rPr>
          <w:rFonts w:hint="eastAsia" w:ascii="宋体" w:hAnsi="宋体" w:eastAsia="宋体" w:cs="宋体"/>
          <w:color w:val="auto"/>
          <w:sz w:val="21"/>
          <w:szCs w:val="21"/>
          <w:lang w:val="zh-CN"/>
        </w:rPr>
        <w:t>.4乙方所交的</w:t>
      </w:r>
      <w:r>
        <w:rPr>
          <w:rFonts w:hint="eastAsia" w:ascii="宋体" w:hAnsi="宋体" w:eastAsia="宋体" w:cs="宋体"/>
          <w:color w:val="auto"/>
          <w:sz w:val="21"/>
          <w:szCs w:val="21"/>
        </w:rPr>
        <w:t>服务</w:t>
      </w:r>
      <w:r>
        <w:rPr>
          <w:rFonts w:hint="eastAsia" w:ascii="宋体" w:hAnsi="宋体" w:eastAsia="宋体" w:cs="宋体"/>
          <w:color w:val="auto"/>
          <w:sz w:val="21"/>
          <w:szCs w:val="21"/>
          <w:lang w:val="zh-CN"/>
        </w:rPr>
        <w:t>不符合</w:t>
      </w:r>
      <w:r>
        <w:rPr>
          <w:rFonts w:hint="eastAsia" w:ascii="宋体" w:hAnsi="宋体" w:eastAsia="宋体" w:cs="宋体"/>
          <w:color w:val="auto"/>
          <w:sz w:val="21"/>
          <w:szCs w:val="21"/>
        </w:rPr>
        <w:t>项目需求要求</w:t>
      </w:r>
      <w:r>
        <w:rPr>
          <w:rFonts w:hint="eastAsia" w:ascii="宋体" w:hAnsi="宋体" w:eastAsia="宋体" w:cs="宋体"/>
          <w:color w:val="auto"/>
          <w:sz w:val="21"/>
          <w:szCs w:val="21"/>
          <w:lang w:val="zh-CN"/>
        </w:rPr>
        <w:t>的、</w:t>
      </w:r>
      <w:r>
        <w:rPr>
          <w:rFonts w:hint="eastAsia" w:ascii="宋体" w:hAnsi="宋体" w:eastAsia="宋体" w:cs="宋体"/>
          <w:color w:val="auto"/>
          <w:sz w:val="21"/>
          <w:szCs w:val="21"/>
        </w:rPr>
        <w:t>乙方响应文件承诺及国家有关质量标准的，</w:t>
      </w:r>
      <w:r>
        <w:rPr>
          <w:rFonts w:hint="eastAsia" w:ascii="宋体" w:hAnsi="宋体" w:eastAsia="宋体" w:cs="宋体"/>
          <w:color w:val="auto"/>
          <w:sz w:val="21"/>
          <w:szCs w:val="21"/>
          <w:lang w:val="zh-CN"/>
        </w:rPr>
        <w:t>甲方有权拒收，乙方愿意更换但逾期交</w:t>
      </w:r>
      <w:r>
        <w:rPr>
          <w:rFonts w:hint="eastAsia" w:ascii="宋体" w:hAnsi="宋体" w:eastAsia="宋体" w:cs="宋体"/>
          <w:color w:val="auto"/>
          <w:sz w:val="21"/>
          <w:szCs w:val="21"/>
        </w:rPr>
        <w:t>付</w:t>
      </w:r>
      <w:r>
        <w:rPr>
          <w:rFonts w:hint="eastAsia" w:ascii="宋体" w:hAnsi="宋体" w:eastAsia="宋体" w:cs="宋体"/>
          <w:color w:val="auto"/>
          <w:sz w:val="21"/>
          <w:szCs w:val="21"/>
          <w:lang w:val="zh-CN"/>
        </w:rPr>
        <w:t>的，按乙方逾期交</w:t>
      </w:r>
      <w:r>
        <w:rPr>
          <w:rFonts w:hint="eastAsia" w:ascii="宋体" w:hAnsi="宋体" w:eastAsia="宋体" w:cs="宋体"/>
          <w:color w:val="auto"/>
          <w:sz w:val="21"/>
          <w:szCs w:val="21"/>
        </w:rPr>
        <w:t>付</w:t>
      </w:r>
      <w:r>
        <w:rPr>
          <w:rFonts w:hint="eastAsia" w:ascii="宋体" w:hAnsi="宋体" w:eastAsia="宋体" w:cs="宋体"/>
          <w:color w:val="auto"/>
          <w:sz w:val="21"/>
          <w:szCs w:val="21"/>
          <w:lang w:val="zh-CN"/>
        </w:rPr>
        <w:t>处理。乙方拒绝更换的，甲方可单方面解除合同，</w:t>
      </w:r>
      <w:r>
        <w:rPr>
          <w:rFonts w:hint="eastAsia" w:ascii="宋体" w:hAnsi="宋体" w:eastAsia="宋体" w:cs="宋体"/>
          <w:color w:val="auto"/>
          <w:sz w:val="21"/>
          <w:szCs w:val="21"/>
        </w:rPr>
        <w:t>并由乙方赔偿由此造成的甲方全部损失</w:t>
      </w:r>
      <w:r>
        <w:rPr>
          <w:rFonts w:hint="eastAsia" w:ascii="宋体" w:hAnsi="宋体" w:eastAsia="宋体" w:cs="宋体"/>
          <w:color w:val="auto"/>
          <w:sz w:val="21"/>
          <w:szCs w:val="21"/>
          <w:lang w:val="zh-CN"/>
        </w:rPr>
        <w:t>。</w:t>
      </w:r>
    </w:p>
    <w:p w14:paraId="798C4409">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 xml:space="preserve"> 12.5乙方违反本合同“安全要求”相关内容的，情节轻微或者尚未造成严重后果的，由其采取补救措施或支付违约金；造成严重后果或者拒不整改、整改后仍不符合安全管理要求的，甲方有权提前解除合同；违反法律法规的，依法追究乙方法律责任，甲方可提请将乙方及工作人员列入政府采购严重违法失信行为记录名单、市场监督管理严重失信名单；构成犯罪的，依法追究乙方刑事责任。</w:t>
      </w:r>
    </w:p>
    <w:p w14:paraId="67D04630">
      <w:pPr>
        <w:pStyle w:val="32"/>
        <w:spacing w:beforeAutospacing="0" w:afterAutospacing="0" w:line="360" w:lineRule="auto"/>
        <w:ind w:firstLine="480"/>
        <w:jc w:val="both"/>
        <w:rPr>
          <w:rFonts w:ascii="宋体" w:hAnsi="宋体" w:eastAsia="宋体" w:cs="宋体"/>
          <w:color w:val="auto"/>
          <w:sz w:val="21"/>
          <w:szCs w:val="21"/>
          <w:lang w:val="zh-CN"/>
        </w:rPr>
      </w:pPr>
      <w:r>
        <w:rPr>
          <w:rFonts w:hint="eastAsia" w:ascii="宋体" w:hAnsi="宋体" w:eastAsia="宋体" w:cs="宋体"/>
          <w:color w:val="auto"/>
          <w:sz w:val="21"/>
          <w:szCs w:val="21"/>
        </w:rPr>
        <w:t>12.6乙方工作人员违反本合同“安全要求”相关内容的，由甲乙双方给予批评教育、责令整改；情节较重的，由乙方更换人员，并对其作出处理；违反法律法规的，依法追究其法律责任；构成犯罪的，依法追究其刑事责任；鉴于部分违约行为造成的后果较长时间才能显现，或者损失数额难以一次性确认的，甲方可保留进一步追偿的权利。</w:t>
      </w:r>
    </w:p>
    <w:p w14:paraId="3E8A3EAE">
      <w:pPr>
        <w:pStyle w:val="32"/>
        <w:spacing w:beforeAutospacing="0" w:afterAutospacing="0" w:line="360" w:lineRule="auto"/>
        <w:ind w:firstLine="480"/>
        <w:jc w:val="both"/>
        <w:rPr>
          <w:rFonts w:ascii="宋体" w:hAnsi="宋体" w:eastAsia="宋体" w:cs="宋体"/>
          <w:b/>
          <w:bCs/>
          <w:color w:val="auto"/>
          <w:sz w:val="21"/>
          <w:szCs w:val="21"/>
          <w:lang w:val="zh-CN"/>
        </w:rPr>
      </w:pPr>
      <w:r>
        <w:rPr>
          <w:rFonts w:hint="eastAsia" w:ascii="宋体" w:hAnsi="宋体" w:eastAsia="宋体" w:cs="宋体"/>
          <w:b/>
          <w:bCs/>
          <w:color w:val="auto"/>
          <w:sz w:val="21"/>
          <w:szCs w:val="21"/>
          <w:lang w:val="zh-CN"/>
        </w:rPr>
        <w:t>十</w:t>
      </w:r>
      <w:r>
        <w:rPr>
          <w:rFonts w:hint="eastAsia" w:ascii="宋体" w:hAnsi="宋体" w:eastAsia="宋体" w:cs="宋体"/>
          <w:b/>
          <w:bCs/>
          <w:color w:val="auto"/>
          <w:sz w:val="21"/>
          <w:szCs w:val="21"/>
        </w:rPr>
        <w:t>三</w:t>
      </w:r>
      <w:r>
        <w:rPr>
          <w:rFonts w:hint="eastAsia" w:ascii="宋体" w:hAnsi="宋体" w:eastAsia="宋体" w:cs="宋体"/>
          <w:b/>
          <w:bCs/>
          <w:color w:val="auto"/>
          <w:sz w:val="21"/>
          <w:szCs w:val="21"/>
          <w:lang w:val="zh-CN"/>
        </w:rPr>
        <w:t>、不可抗力事件处理</w:t>
      </w:r>
    </w:p>
    <w:p w14:paraId="0F609FB7">
      <w:pPr>
        <w:pStyle w:val="32"/>
        <w:spacing w:beforeAutospacing="0" w:afterAutospacing="0" w:line="360" w:lineRule="auto"/>
        <w:ind w:firstLine="480"/>
        <w:jc w:val="both"/>
        <w:rPr>
          <w:rFonts w:ascii="宋体" w:hAnsi="宋体" w:eastAsia="宋体" w:cs="宋体"/>
          <w:color w:val="auto"/>
          <w:sz w:val="21"/>
          <w:szCs w:val="21"/>
          <w:lang w:val="zh-CN"/>
        </w:rPr>
      </w:pPr>
      <w:r>
        <w:rPr>
          <w:rFonts w:hint="eastAsia" w:ascii="宋体" w:hAnsi="宋体" w:eastAsia="宋体" w:cs="宋体"/>
          <w:color w:val="auto"/>
          <w:sz w:val="21"/>
          <w:szCs w:val="21"/>
          <w:lang w:val="zh-CN"/>
        </w:rPr>
        <w:t>1</w:t>
      </w:r>
      <w:r>
        <w:rPr>
          <w:rFonts w:hint="eastAsia" w:ascii="宋体" w:hAnsi="宋体" w:eastAsia="宋体" w:cs="宋体"/>
          <w:color w:val="auto"/>
          <w:sz w:val="21"/>
          <w:szCs w:val="21"/>
        </w:rPr>
        <w:t>3</w:t>
      </w:r>
      <w:r>
        <w:rPr>
          <w:rFonts w:hint="eastAsia" w:ascii="宋体" w:hAnsi="宋体" w:eastAsia="宋体" w:cs="宋体"/>
          <w:color w:val="auto"/>
          <w:sz w:val="21"/>
          <w:szCs w:val="21"/>
          <w:lang w:val="zh-CN"/>
        </w:rPr>
        <w:t>.1在合同有效期内，任何一方因不可抗力事件导致不能履行合同，则合同履行期可延长，其延长期与不可抗力影响期相同。</w:t>
      </w:r>
    </w:p>
    <w:p w14:paraId="4C118514">
      <w:pPr>
        <w:pStyle w:val="32"/>
        <w:spacing w:beforeAutospacing="0" w:afterAutospacing="0" w:line="360" w:lineRule="auto"/>
        <w:ind w:firstLine="480"/>
        <w:jc w:val="both"/>
        <w:rPr>
          <w:rFonts w:ascii="宋体" w:hAnsi="宋体" w:eastAsia="宋体" w:cs="宋体"/>
          <w:color w:val="auto"/>
          <w:sz w:val="21"/>
          <w:szCs w:val="21"/>
          <w:lang w:val="zh-CN"/>
        </w:rPr>
      </w:pPr>
      <w:r>
        <w:rPr>
          <w:rFonts w:hint="eastAsia" w:ascii="宋体" w:hAnsi="宋体" w:eastAsia="宋体" w:cs="宋体"/>
          <w:color w:val="auto"/>
          <w:sz w:val="21"/>
          <w:szCs w:val="21"/>
          <w:lang w:val="zh-CN"/>
        </w:rPr>
        <w:t>1</w:t>
      </w:r>
      <w:r>
        <w:rPr>
          <w:rFonts w:hint="eastAsia" w:ascii="宋体" w:hAnsi="宋体" w:eastAsia="宋体" w:cs="宋体"/>
          <w:color w:val="auto"/>
          <w:sz w:val="21"/>
          <w:szCs w:val="21"/>
        </w:rPr>
        <w:t>3</w:t>
      </w:r>
      <w:r>
        <w:rPr>
          <w:rFonts w:hint="eastAsia" w:ascii="宋体" w:hAnsi="宋体" w:eastAsia="宋体" w:cs="宋体"/>
          <w:color w:val="auto"/>
          <w:sz w:val="21"/>
          <w:szCs w:val="21"/>
          <w:lang w:val="zh-CN"/>
        </w:rPr>
        <w:t>.2不可抗力事件发生后，应立即通知对方，并寄送有关权威机构出具的证明。</w:t>
      </w:r>
    </w:p>
    <w:p w14:paraId="668F529D">
      <w:pPr>
        <w:pStyle w:val="32"/>
        <w:spacing w:beforeAutospacing="0" w:afterAutospacing="0" w:line="360" w:lineRule="auto"/>
        <w:ind w:firstLine="480"/>
        <w:jc w:val="both"/>
        <w:rPr>
          <w:rFonts w:ascii="宋体" w:hAnsi="宋体" w:eastAsia="宋体" w:cs="宋体"/>
          <w:color w:val="auto"/>
          <w:sz w:val="21"/>
          <w:szCs w:val="21"/>
          <w:lang w:val="zh-CN"/>
        </w:rPr>
      </w:pPr>
      <w:r>
        <w:rPr>
          <w:rFonts w:hint="eastAsia" w:ascii="宋体" w:hAnsi="宋体" w:eastAsia="宋体" w:cs="宋体"/>
          <w:color w:val="auto"/>
          <w:sz w:val="21"/>
          <w:szCs w:val="21"/>
          <w:lang w:val="zh-CN"/>
        </w:rPr>
        <w:t>1</w:t>
      </w:r>
      <w:r>
        <w:rPr>
          <w:rFonts w:hint="eastAsia" w:ascii="宋体" w:hAnsi="宋体" w:eastAsia="宋体" w:cs="宋体"/>
          <w:color w:val="auto"/>
          <w:sz w:val="21"/>
          <w:szCs w:val="21"/>
        </w:rPr>
        <w:t>3</w:t>
      </w:r>
      <w:r>
        <w:rPr>
          <w:rFonts w:hint="eastAsia" w:ascii="宋体" w:hAnsi="宋体" w:eastAsia="宋体" w:cs="宋体"/>
          <w:color w:val="auto"/>
          <w:sz w:val="21"/>
          <w:szCs w:val="21"/>
          <w:lang w:val="zh-CN"/>
        </w:rPr>
        <w:t>.3不可抗力事件延续120天以上，双方应通过友好协商，确定是否继续履行合同。</w:t>
      </w:r>
    </w:p>
    <w:p w14:paraId="3959716E">
      <w:pPr>
        <w:pStyle w:val="32"/>
        <w:spacing w:beforeAutospacing="0" w:afterAutospacing="0" w:line="360" w:lineRule="auto"/>
        <w:ind w:firstLine="480"/>
        <w:jc w:val="both"/>
        <w:rPr>
          <w:rFonts w:ascii="宋体" w:hAnsi="宋体" w:eastAsia="宋体" w:cs="宋体"/>
          <w:b/>
          <w:bCs/>
          <w:color w:val="auto"/>
          <w:sz w:val="21"/>
          <w:szCs w:val="21"/>
          <w:lang w:val="zh-CN"/>
        </w:rPr>
      </w:pPr>
      <w:r>
        <w:rPr>
          <w:rFonts w:hint="eastAsia" w:ascii="宋体" w:hAnsi="宋体" w:eastAsia="宋体" w:cs="宋体"/>
          <w:b/>
          <w:bCs/>
          <w:color w:val="auto"/>
          <w:sz w:val="21"/>
          <w:szCs w:val="21"/>
          <w:lang w:val="zh-CN"/>
        </w:rPr>
        <w:t>十</w:t>
      </w:r>
      <w:r>
        <w:rPr>
          <w:rFonts w:hint="eastAsia" w:ascii="宋体" w:hAnsi="宋体" w:eastAsia="宋体" w:cs="宋体"/>
          <w:b/>
          <w:bCs/>
          <w:color w:val="auto"/>
          <w:sz w:val="21"/>
          <w:szCs w:val="21"/>
        </w:rPr>
        <w:t>四</w:t>
      </w:r>
      <w:r>
        <w:rPr>
          <w:rFonts w:hint="eastAsia" w:ascii="宋体" w:hAnsi="宋体" w:eastAsia="宋体" w:cs="宋体"/>
          <w:b/>
          <w:bCs/>
          <w:color w:val="auto"/>
          <w:sz w:val="21"/>
          <w:szCs w:val="21"/>
          <w:lang w:val="zh-CN"/>
        </w:rPr>
        <w:t>、诉讼</w:t>
      </w:r>
    </w:p>
    <w:p w14:paraId="2BFF551D">
      <w:pPr>
        <w:pStyle w:val="32"/>
        <w:spacing w:beforeAutospacing="0" w:afterAutospacing="0" w:line="360" w:lineRule="auto"/>
        <w:ind w:firstLine="480"/>
        <w:jc w:val="both"/>
        <w:rPr>
          <w:rFonts w:ascii="宋体" w:hAnsi="宋体" w:eastAsia="宋体" w:cs="宋体"/>
          <w:color w:val="auto"/>
          <w:sz w:val="21"/>
          <w:szCs w:val="21"/>
          <w:lang w:val="zh-CN"/>
        </w:rPr>
      </w:pPr>
      <w:r>
        <w:rPr>
          <w:rFonts w:hint="eastAsia" w:ascii="宋体" w:hAnsi="宋体" w:eastAsia="宋体" w:cs="宋体"/>
          <w:color w:val="auto"/>
          <w:sz w:val="21"/>
          <w:szCs w:val="21"/>
          <w:lang w:val="zh-CN"/>
        </w:rPr>
        <w:t>1</w:t>
      </w:r>
      <w:r>
        <w:rPr>
          <w:rFonts w:hint="eastAsia" w:ascii="宋体" w:hAnsi="宋体" w:eastAsia="宋体" w:cs="宋体"/>
          <w:color w:val="auto"/>
          <w:sz w:val="21"/>
          <w:szCs w:val="21"/>
        </w:rPr>
        <w:t>4</w:t>
      </w:r>
      <w:r>
        <w:rPr>
          <w:rFonts w:hint="eastAsia" w:ascii="宋体" w:hAnsi="宋体" w:eastAsia="宋体" w:cs="宋体"/>
          <w:color w:val="auto"/>
          <w:sz w:val="21"/>
          <w:szCs w:val="21"/>
          <w:lang w:val="zh-CN"/>
        </w:rPr>
        <w:t>.1双方在执行合同中所发生的一切争议，应通过协商解决。如协商不成，可向合同签订地法院起诉，合同签订地在此约定为盐城市。</w:t>
      </w:r>
    </w:p>
    <w:p w14:paraId="0674A785">
      <w:pPr>
        <w:pStyle w:val="32"/>
        <w:spacing w:beforeAutospacing="0" w:afterAutospacing="0" w:line="360" w:lineRule="auto"/>
        <w:ind w:firstLine="480"/>
        <w:jc w:val="both"/>
        <w:rPr>
          <w:rFonts w:ascii="宋体" w:hAnsi="宋体" w:eastAsia="宋体" w:cs="宋体"/>
          <w:b/>
          <w:bCs/>
          <w:color w:val="auto"/>
          <w:sz w:val="21"/>
          <w:szCs w:val="21"/>
          <w:lang w:val="zh-CN"/>
        </w:rPr>
      </w:pPr>
      <w:r>
        <w:rPr>
          <w:rFonts w:hint="eastAsia" w:ascii="宋体" w:hAnsi="宋体" w:eastAsia="宋体" w:cs="宋体"/>
          <w:b/>
          <w:bCs/>
          <w:color w:val="auto"/>
          <w:sz w:val="21"/>
          <w:szCs w:val="21"/>
          <w:lang w:val="zh-CN"/>
        </w:rPr>
        <w:t>十</w:t>
      </w:r>
      <w:r>
        <w:rPr>
          <w:rFonts w:hint="eastAsia" w:ascii="宋体" w:hAnsi="宋体" w:eastAsia="宋体" w:cs="宋体"/>
          <w:b/>
          <w:bCs/>
          <w:color w:val="auto"/>
          <w:sz w:val="21"/>
          <w:szCs w:val="21"/>
        </w:rPr>
        <w:t>五</w:t>
      </w:r>
      <w:r>
        <w:rPr>
          <w:rFonts w:hint="eastAsia" w:ascii="宋体" w:hAnsi="宋体" w:eastAsia="宋体" w:cs="宋体"/>
          <w:b/>
          <w:bCs/>
          <w:color w:val="auto"/>
          <w:sz w:val="21"/>
          <w:szCs w:val="21"/>
          <w:lang w:val="zh-CN"/>
        </w:rPr>
        <w:t>、合同生效及其它</w:t>
      </w:r>
    </w:p>
    <w:p w14:paraId="0C273714">
      <w:pPr>
        <w:pStyle w:val="32"/>
        <w:spacing w:beforeAutospacing="0" w:afterAutospacing="0" w:line="360" w:lineRule="auto"/>
        <w:ind w:firstLine="480"/>
        <w:jc w:val="both"/>
        <w:rPr>
          <w:rFonts w:ascii="宋体" w:hAnsi="宋体" w:eastAsia="宋体" w:cs="宋体"/>
          <w:color w:val="auto"/>
          <w:sz w:val="21"/>
          <w:szCs w:val="21"/>
          <w:lang w:val="zh-CN"/>
        </w:rPr>
      </w:pPr>
      <w:r>
        <w:rPr>
          <w:rFonts w:hint="eastAsia" w:ascii="宋体" w:hAnsi="宋体" w:eastAsia="宋体" w:cs="宋体"/>
          <w:color w:val="auto"/>
          <w:sz w:val="21"/>
          <w:szCs w:val="21"/>
          <w:lang w:val="zh-CN"/>
        </w:rPr>
        <w:t>1</w:t>
      </w:r>
      <w:r>
        <w:rPr>
          <w:rFonts w:hint="eastAsia" w:ascii="宋体" w:hAnsi="宋体" w:eastAsia="宋体" w:cs="宋体"/>
          <w:color w:val="auto"/>
          <w:sz w:val="21"/>
          <w:szCs w:val="21"/>
        </w:rPr>
        <w:t>5</w:t>
      </w:r>
      <w:r>
        <w:rPr>
          <w:rFonts w:hint="eastAsia" w:ascii="宋体" w:hAnsi="宋体" w:eastAsia="宋体" w:cs="宋体"/>
          <w:color w:val="auto"/>
          <w:sz w:val="21"/>
          <w:szCs w:val="21"/>
          <w:lang w:val="zh-CN"/>
        </w:rPr>
        <w:t>.1合同经双方法定代表人或授权委托代表人签字并加盖单位公章后生效。</w:t>
      </w:r>
    </w:p>
    <w:p w14:paraId="50FD3FC7">
      <w:pPr>
        <w:pStyle w:val="32"/>
        <w:spacing w:beforeAutospacing="0" w:afterAutospacing="0" w:line="360" w:lineRule="auto"/>
        <w:ind w:firstLine="480"/>
        <w:jc w:val="both"/>
        <w:rPr>
          <w:rFonts w:ascii="宋体" w:hAnsi="宋体" w:eastAsia="宋体" w:cs="宋体"/>
          <w:color w:val="auto"/>
          <w:sz w:val="21"/>
          <w:szCs w:val="21"/>
          <w:lang w:val="zh-CN"/>
        </w:rPr>
      </w:pPr>
      <w:r>
        <w:rPr>
          <w:rFonts w:hint="eastAsia" w:ascii="宋体" w:hAnsi="宋体" w:eastAsia="宋体" w:cs="宋体"/>
          <w:color w:val="auto"/>
          <w:sz w:val="21"/>
          <w:szCs w:val="21"/>
          <w:lang w:val="zh-CN"/>
        </w:rPr>
        <w:t>1</w:t>
      </w:r>
      <w:r>
        <w:rPr>
          <w:rFonts w:hint="eastAsia" w:ascii="宋体" w:hAnsi="宋体" w:eastAsia="宋体" w:cs="宋体"/>
          <w:color w:val="auto"/>
          <w:sz w:val="21"/>
          <w:szCs w:val="21"/>
        </w:rPr>
        <w:t>5</w:t>
      </w:r>
      <w:r>
        <w:rPr>
          <w:rFonts w:hint="eastAsia" w:ascii="宋体" w:hAnsi="宋体" w:eastAsia="宋体" w:cs="宋体"/>
          <w:color w:val="auto"/>
          <w:sz w:val="21"/>
          <w:szCs w:val="21"/>
          <w:lang w:val="zh-CN"/>
        </w:rPr>
        <w:t>.2本合同未尽事宜，遵照《民法典》有关条文执行。</w:t>
      </w:r>
    </w:p>
    <w:p w14:paraId="12C0BACE">
      <w:pPr>
        <w:pStyle w:val="32"/>
        <w:spacing w:beforeAutospacing="0" w:afterAutospacing="0" w:line="360" w:lineRule="auto"/>
        <w:ind w:firstLine="480"/>
        <w:jc w:val="both"/>
        <w:rPr>
          <w:rFonts w:ascii="宋体" w:hAnsi="宋体" w:eastAsia="宋体" w:cs="宋体"/>
          <w:color w:val="auto"/>
          <w:sz w:val="21"/>
          <w:szCs w:val="21"/>
          <w:lang w:val="zh-CN"/>
        </w:rPr>
      </w:pPr>
      <w:r>
        <w:rPr>
          <w:rFonts w:hint="eastAsia" w:ascii="宋体" w:hAnsi="宋体" w:eastAsia="宋体" w:cs="宋体"/>
          <w:color w:val="auto"/>
          <w:sz w:val="21"/>
          <w:szCs w:val="21"/>
          <w:lang w:val="zh-CN"/>
        </w:rPr>
        <w:t>1</w:t>
      </w:r>
      <w:r>
        <w:rPr>
          <w:rFonts w:hint="eastAsia" w:ascii="宋体" w:hAnsi="宋体" w:eastAsia="宋体" w:cs="宋体"/>
          <w:color w:val="auto"/>
          <w:sz w:val="21"/>
          <w:szCs w:val="21"/>
        </w:rPr>
        <w:t>5</w:t>
      </w:r>
      <w:r>
        <w:rPr>
          <w:rFonts w:hint="eastAsia" w:ascii="宋体" w:hAnsi="宋体" w:eastAsia="宋体" w:cs="宋体"/>
          <w:color w:val="auto"/>
          <w:sz w:val="21"/>
          <w:szCs w:val="21"/>
          <w:lang w:val="zh-CN"/>
        </w:rPr>
        <w:t>.3本合同正本一式</w:t>
      </w:r>
      <w:r>
        <w:rPr>
          <w:rFonts w:hint="eastAsia" w:ascii="宋体" w:hAnsi="宋体" w:eastAsia="宋体" w:cs="宋体"/>
          <w:color w:val="auto"/>
          <w:sz w:val="21"/>
          <w:szCs w:val="21"/>
        </w:rPr>
        <w:t>六</w:t>
      </w:r>
      <w:r>
        <w:rPr>
          <w:rFonts w:hint="eastAsia" w:ascii="宋体" w:hAnsi="宋体" w:eastAsia="宋体" w:cs="宋体"/>
          <w:color w:val="auto"/>
          <w:sz w:val="21"/>
          <w:szCs w:val="21"/>
          <w:lang w:val="zh-CN"/>
        </w:rPr>
        <w:t>份，具有同等法律效力，甲方</w:t>
      </w:r>
      <w:r>
        <w:rPr>
          <w:rFonts w:hint="eastAsia" w:ascii="宋体" w:hAnsi="宋体" w:eastAsia="宋体" w:cs="宋体"/>
          <w:color w:val="auto"/>
          <w:sz w:val="21"/>
          <w:szCs w:val="21"/>
        </w:rPr>
        <w:t>四份、</w:t>
      </w:r>
      <w:r>
        <w:rPr>
          <w:rFonts w:hint="eastAsia" w:ascii="宋体" w:hAnsi="宋体" w:eastAsia="宋体" w:cs="宋体"/>
          <w:color w:val="auto"/>
          <w:sz w:val="21"/>
          <w:szCs w:val="21"/>
          <w:lang w:val="zh-CN"/>
        </w:rPr>
        <w:t>乙方</w:t>
      </w:r>
      <w:r>
        <w:rPr>
          <w:rFonts w:hint="eastAsia" w:ascii="宋体" w:hAnsi="宋体" w:eastAsia="宋体" w:cs="宋体"/>
          <w:color w:val="auto"/>
          <w:sz w:val="21"/>
          <w:szCs w:val="21"/>
        </w:rPr>
        <w:t>二</w:t>
      </w:r>
      <w:r>
        <w:rPr>
          <w:rFonts w:hint="eastAsia" w:ascii="宋体" w:hAnsi="宋体" w:eastAsia="宋体" w:cs="宋体"/>
          <w:color w:val="auto"/>
          <w:sz w:val="21"/>
          <w:szCs w:val="21"/>
          <w:lang w:val="zh-CN"/>
        </w:rPr>
        <w:t>份。</w:t>
      </w:r>
    </w:p>
    <w:p w14:paraId="2094DC53">
      <w:pPr>
        <w:pStyle w:val="19"/>
        <w:spacing w:line="500" w:lineRule="exact"/>
        <w:rPr>
          <w:rFonts w:hAnsi="宋体"/>
          <w:color w:val="auto"/>
          <w:sz w:val="24"/>
          <w:szCs w:val="24"/>
        </w:rPr>
      </w:pPr>
      <w:r>
        <w:rPr>
          <w:rFonts w:hint="eastAsia" w:hAnsi="宋体"/>
          <w:color w:val="auto"/>
          <w:sz w:val="24"/>
          <w:szCs w:val="24"/>
        </w:rPr>
        <w:t>甲 方： 乙 方：</w:t>
      </w:r>
    </w:p>
    <w:p w14:paraId="57A7DF64">
      <w:pPr>
        <w:pStyle w:val="19"/>
        <w:spacing w:line="500" w:lineRule="exact"/>
        <w:rPr>
          <w:rFonts w:hAnsi="宋体"/>
          <w:color w:val="auto"/>
          <w:sz w:val="24"/>
          <w:szCs w:val="24"/>
        </w:rPr>
      </w:pPr>
      <w:r>
        <w:rPr>
          <w:rFonts w:hint="eastAsia" w:hAnsi="宋体"/>
          <w:color w:val="auto"/>
          <w:sz w:val="24"/>
          <w:szCs w:val="24"/>
        </w:rPr>
        <w:t>地 址：地 址：</w:t>
      </w:r>
    </w:p>
    <w:p w14:paraId="5602F768">
      <w:pPr>
        <w:pStyle w:val="19"/>
        <w:spacing w:line="500" w:lineRule="exact"/>
        <w:rPr>
          <w:rFonts w:hAnsi="宋体"/>
          <w:color w:val="auto"/>
          <w:sz w:val="24"/>
          <w:szCs w:val="24"/>
        </w:rPr>
      </w:pPr>
      <w:r>
        <w:rPr>
          <w:rFonts w:hint="eastAsia" w:hAnsi="宋体"/>
          <w:color w:val="auto"/>
          <w:sz w:val="24"/>
          <w:szCs w:val="24"/>
        </w:rPr>
        <w:t>法定代表人或授权代表：法定代表人或授权代表：</w:t>
      </w:r>
    </w:p>
    <w:p w14:paraId="30A446B7">
      <w:pPr>
        <w:pStyle w:val="19"/>
        <w:spacing w:line="500" w:lineRule="exact"/>
        <w:rPr>
          <w:rFonts w:hAnsi="宋体"/>
          <w:color w:val="auto"/>
          <w:sz w:val="24"/>
          <w:szCs w:val="24"/>
        </w:rPr>
      </w:pPr>
      <w:r>
        <w:rPr>
          <w:rFonts w:hint="eastAsia" w:hAnsi="宋体"/>
          <w:color w:val="auto"/>
          <w:sz w:val="24"/>
          <w:szCs w:val="24"/>
        </w:rPr>
        <w:t>电 话：  电 话：</w:t>
      </w:r>
    </w:p>
    <w:p w14:paraId="6732D1FE">
      <w:pPr>
        <w:pStyle w:val="19"/>
        <w:spacing w:line="500" w:lineRule="exact"/>
        <w:ind w:firstLine="5520"/>
        <w:rPr>
          <w:rFonts w:hAnsi="宋体"/>
          <w:color w:val="auto"/>
          <w:sz w:val="24"/>
          <w:szCs w:val="24"/>
        </w:rPr>
      </w:pPr>
      <w:r>
        <w:rPr>
          <w:rFonts w:hint="eastAsia" w:hAnsi="宋体"/>
          <w:color w:val="auto"/>
          <w:sz w:val="24"/>
          <w:szCs w:val="24"/>
        </w:rPr>
        <w:t>日 期：年月日</w:t>
      </w:r>
    </w:p>
    <w:p w14:paraId="36F50FB6">
      <w:pPr>
        <w:spacing w:line="540" w:lineRule="exact"/>
        <w:rPr>
          <w:rFonts w:ascii="宋体" w:hAnsi="宋体" w:cs="宋体"/>
          <w:color w:val="auto"/>
          <w:sz w:val="24"/>
        </w:rPr>
      </w:pPr>
    </w:p>
    <w:p w14:paraId="5330C0AA">
      <w:pPr>
        <w:rPr>
          <w:rFonts w:ascii="宋体" w:hAnsi="宋体" w:cs="宋体"/>
          <w:color w:val="auto"/>
          <w:sz w:val="24"/>
        </w:rPr>
      </w:pPr>
      <w:r>
        <w:rPr>
          <w:rFonts w:hint="eastAsia" w:ascii="宋体" w:hAnsi="宋体" w:cs="宋体"/>
          <w:color w:val="auto"/>
          <w:sz w:val="24"/>
        </w:rPr>
        <w:br w:type="page" w:clear="all"/>
      </w:r>
    </w:p>
    <w:p w14:paraId="2B6CA63B">
      <w:pPr>
        <w:spacing w:line="540" w:lineRule="exact"/>
        <w:rPr>
          <w:rFonts w:ascii="宋体" w:hAnsi="宋体" w:cs="宋体"/>
          <w:color w:val="auto"/>
          <w:szCs w:val="21"/>
        </w:rPr>
      </w:pPr>
      <w:r>
        <w:rPr>
          <w:rFonts w:hint="eastAsia" w:ascii="宋体" w:hAnsi="宋体" w:cs="宋体"/>
          <w:color w:val="auto"/>
          <w:szCs w:val="21"/>
        </w:rPr>
        <w:t>合同附件：</w:t>
      </w:r>
    </w:p>
    <w:p w14:paraId="7E79A48B">
      <w:pPr>
        <w:spacing w:line="540" w:lineRule="exact"/>
        <w:jc w:val="center"/>
        <w:rPr>
          <w:rFonts w:ascii="宋体" w:hAnsi="宋体" w:cs="宋体"/>
          <w:b/>
          <w:color w:val="auto"/>
          <w:sz w:val="32"/>
          <w:szCs w:val="32"/>
        </w:rPr>
      </w:pPr>
      <w:r>
        <w:rPr>
          <w:rFonts w:hint="eastAsia" w:ascii="宋体" w:hAnsi="宋体" w:cs="宋体"/>
          <w:b/>
          <w:color w:val="auto"/>
          <w:sz w:val="32"/>
          <w:szCs w:val="32"/>
        </w:rPr>
        <w:t>项目建设供应商承诺函</w:t>
      </w:r>
    </w:p>
    <w:p w14:paraId="415521AA">
      <w:pPr>
        <w:spacing w:line="540" w:lineRule="exact"/>
        <w:rPr>
          <w:rFonts w:ascii="宋体" w:hAnsi="宋体" w:cs="宋体"/>
          <w:b/>
          <w:bCs/>
          <w:color w:val="auto"/>
          <w:sz w:val="28"/>
          <w:szCs w:val="28"/>
        </w:rPr>
      </w:pPr>
    </w:p>
    <w:p w14:paraId="3678D774">
      <w:pPr>
        <w:spacing w:line="480" w:lineRule="auto"/>
        <w:ind w:firstLine="420"/>
        <w:rPr>
          <w:rFonts w:ascii="宋体" w:hAnsi="宋体" w:eastAsia="宋体" w:cs="宋体"/>
          <w:color w:val="auto"/>
          <w:szCs w:val="21"/>
        </w:rPr>
      </w:pPr>
      <w:r>
        <w:rPr>
          <w:rFonts w:hint="eastAsia" w:ascii="宋体" w:hAnsi="宋体" w:eastAsia="宋体" w:cs="宋体"/>
          <w:color w:val="auto"/>
          <w:szCs w:val="21"/>
        </w:rPr>
        <w:t>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p>
    <w:p w14:paraId="03F93161">
      <w:pPr>
        <w:spacing w:line="480" w:lineRule="auto"/>
        <w:ind w:firstLine="420"/>
        <w:rPr>
          <w:rFonts w:ascii="宋体" w:hAnsi="宋体" w:eastAsia="宋体" w:cs="宋体"/>
          <w:color w:val="auto"/>
          <w:szCs w:val="21"/>
        </w:rPr>
      </w:pPr>
      <w:r>
        <w:rPr>
          <w:rFonts w:hint="eastAsia" w:ascii="宋体" w:hAnsi="宋体" w:eastAsia="宋体" w:cs="宋体"/>
          <w:color w:val="auto"/>
          <w:szCs w:val="21"/>
        </w:rPr>
        <w:t>2、市公安局采购办将在合同约定的履约期限结束的5个工作日内组织项目验收，供应商应当及时做好验收的准备工作，验收的每次结果将存档，如未能验收通过将根据未通过的原因按照合同约定追究违约责任。</w:t>
      </w:r>
    </w:p>
    <w:p w14:paraId="1BAC139A">
      <w:pPr>
        <w:spacing w:line="480" w:lineRule="auto"/>
        <w:ind w:firstLine="420"/>
        <w:rPr>
          <w:rFonts w:ascii="宋体" w:hAnsi="宋体" w:eastAsia="宋体" w:cs="宋体"/>
          <w:color w:val="auto"/>
          <w:szCs w:val="21"/>
        </w:rPr>
      </w:pPr>
      <w:r>
        <w:rPr>
          <w:rFonts w:hint="eastAsia" w:ascii="宋体" w:hAnsi="宋体" w:eastAsia="宋体" w:cs="宋体"/>
          <w:color w:val="auto"/>
          <w:szCs w:val="21"/>
        </w:rPr>
        <w:t>对未列出的其他事项，严格按照法律法规等具体规定执行。</w:t>
      </w:r>
    </w:p>
    <w:p w14:paraId="1CF8F0D7">
      <w:pPr>
        <w:spacing w:line="480" w:lineRule="auto"/>
        <w:ind w:firstLine="420"/>
        <w:rPr>
          <w:rFonts w:ascii="宋体" w:hAnsi="宋体" w:eastAsia="宋体" w:cs="宋体"/>
          <w:color w:val="auto"/>
          <w:szCs w:val="21"/>
        </w:rPr>
      </w:pPr>
      <w:r>
        <w:rPr>
          <w:rFonts w:hint="eastAsia" w:ascii="宋体" w:hAnsi="宋体" w:eastAsia="宋体" w:cs="宋体"/>
          <w:color w:val="auto"/>
          <w:szCs w:val="21"/>
        </w:rPr>
        <w:t>现承诺，我单位在履行</w:t>
      </w:r>
      <w:r>
        <w:rPr>
          <w:rFonts w:hint="eastAsia" w:ascii="宋体" w:hAnsi="宋体" w:eastAsia="宋体" w:cs="宋体"/>
          <w:color w:val="auto"/>
          <w:szCs w:val="21"/>
          <w:u w:val="single"/>
        </w:rPr>
        <w:t xml:space="preserve">    （ 项目名称  ）         </w:t>
      </w:r>
      <w:r>
        <w:rPr>
          <w:rFonts w:hint="eastAsia" w:ascii="宋体" w:hAnsi="宋体" w:eastAsia="宋体" w:cs="宋体"/>
          <w:color w:val="auto"/>
          <w:szCs w:val="21"/>
        </w:rPr>
        <w:t>的项目建设中，将严格按照提示函的内容和要求执行，如若违反愿意承担相应的责任。</w:t>
      </w:r>
    </w:p>
    <w:p w14:paraId="78444BEF">
      <w:pPr>
        <w:spacing w:line="480" w:lineRule="auto"/>
        <w:rPr>
          <w:rFonts w:ascii="宋体" w:hAnsi="宋体" w:eastAsia="宋体" w:cs="宋体"/>
          <w:color w:val="auto"/>
          <w:szCs w:val="21"/>
        </w:rPr>
      </w:pPr>
    </w:p>
    <w:p w14:paraId="1A1CBC95">
      <w:pPr>
        <w:spacing w:line="480" w:lineRule="auto"/>
        <w:ind w:firstLine="630"/>
        <w:rPr>
          <w:rFonts w:ascii="宋体" w:hAnsi="宋体" w:eastAsia="宋体" w:cs="宋体"/>
          <w:color w:val="auto"/>
          <w:szCs w:val="21"/>
        </w:rPr>
      </w:pPr>
      <w:r>
        <w:rPr>
          <w:rFonts w:hint="eastAsia" w:ascii="宋体" w:hAnsi="宋体" w:eastAsia="宋体" w:cs="宋体"/>
          <w:color w:val="auto"/>
          <w:szCs w:val="21"/>
        </w:rPr>
        <w:t>供应商项目负责人（签字）：            联系方式：</w:t>
      </w:r>
    </w:p>
    <w:p w14:paraId="7172D49A">
      <w:pPr>
        <w:pStyle w:val="19"/>
        <w:spacing w:line="500" w:lineRule="exact"/>
        <w:ind w:firstLine="5520"/>
        <w:rPr>
          <w:rFonts w:hAnsi="宋体"/>
          <w:color w:val="auto"/>
          <w:sz w:val="24"/>
          <w:szCs w:val="24"/>
        </w:rPr>
      </w:pPr>
    </w:p>
    <w:p w14:paraId="24E49BA5">
      <w:pPr>
        <w:pStyle w:val="19"/>
        <w:spacing w:line="500" w:lineRule="exact"/>
        <w:ind w:firstLine="5520"/>
        <w:rPr>
          <w:rFonts w:hAnsi="宋体"/>
          <w:color w:val="auto"/>
          <w:sz w:val="24"/>
          <w:szCs w:val="24"/>
        </w:rPr>
      </w:pPr>
    </w:p>
    <w:p w14:paraId="361971E3">
      <w:pPr>
        <w:widowControl/>
        <w:spacing w:line="499" w:lineRule="atLeast"/>
        <w:jc w:val="center"/>
        <w:rPr>
          <w:rFonts w:ascii="宋体" w:hAnsi="宋体" w:eastAsia="宋体" w:cs="宋体"/>
          <w:color w:val="auto"/>
          <w:sz w:val="24"/>
        </w:rPr>
      </w:pPr>
      <w:r>
        <w:rPr>
          <w:rFonts w:hint="eastAsia" w:ascii="宋体" w:hAnsi="宋体" w:eastAsia="宋体" w:cs="宋体"/>
          <w:color w:val="auto"/>
          <w:sz w:val="24"/>
        </w:rPr>
        <w:t>单位名称（盖章）：</w:t>
      </w:r>
    </w:p>
    <w:p w14:paraId="58E6A98C">
      <w:pPr>
        <w:widowControl/>
        <w:spacing w:line="499" w:lineRule="atLeast"/>
        <w:jc w:val="right"/>
        <w:rPr>
          <w:rFonts w:ascii="宋体" w:hAnsi="宋体" w:eastAsia="宋体" w:cs="宋体"/>
          <w:color w:val="auto"/>
          <w:sz w:val="24"/>
        </w:rPr>
      </w:pPr>
      <w:r>
        <w:rPr>
          <w:rFonts w:hint="eastAsia" w:ascii="宋体" w:hAnsi="宋体" w:eastAsia="宋体" w:cs="宋体"/>
          <w:color w:val="auto"/>
          <w:sz w:val="24"/>
        </w:rPr>
        <w:t>                      年月日</w:t>
      </w:r>
    </w:p>
    <w:p w14:paraId="70BA939E">
      <w:pPr>
        <w:pStyle w:val="19"/>
        <w:spacing w:line="500" w:lineRule="exact"/>
        <w:ind w:firstLine="5520"/>
        <w:rPr>
          <w:rFonts w:hAnsi="宋体"/>
          <w:color w:val="auto"/>
          <w:sz w:val="24"/>
          <w:szCs w:val="24"/>
        </w:rPr>
      </w:pPr>
    </w:p>
    <w:p w14:paraId="5FCD9BF9">
      <w:pPr>
        <w:pStyle w:val="32"/>
        <w:spacing w:before="120" w:beforeAutospacing="0" w:after="120" w:afterAutospacing="0" w:line="360" w:lineRule="auto"/>
        <w:jc w:val="center"/>
        <w:rPr>
          <w:rFonts w:ascii="黑体" w:hAnsi="宋体" w:eastAsia="黑体" w:cs="黑体"/>
          <w:color w:val="auto"/>
          <w:sz w:val="44"/>
          <w:szCs w:val="44"/>
        </w:rPr>
      </w:pPr>
    </w:p>
    <w:p w14:paraId="7223089A">
      <w:pPr>
        <w:pStyle w:val="32"/>
        <w:spacing w:before="120" w:beforeAutospacing="0" w:after="120" w:afterAutospacing="0" w:line="360" w:lineRule="auto"/>
        <w:jc w:val="center"/>
        <w:rPr>
          <w:rFonts w:ascii="黑体" w:hAnsi="宋体" w:eastAsia="黑体" w:cs="黑体"/>
          <w:color w:val="auto"/>
          <w:sz w:val="44"/>
          <w:szCs w:val="44"/>
        </w:rPr>
      </w:pPr>
    </w:p>
    <w:p w14:paraId="20009DCD">
      <w:pPr>
        <w:pStyle w:val="32"/>
        <w:spacing w:before="120" w:beforeAutospacing="0" w:after="120" w:afterAutospacing="0" w:line="360" w:lineRule="auto"/>
        <w:jc w:val="center"/>
        <w:rPr>
          <w:rFonts w:ascii="黑体" w:hAnsi="宋体" w:eastAsia="黑体" w:cs="黑体"/>
          <w:color w:val="auto"/>
          <w:sz w:val="44"/>
          <w:szCs w:val="44"/>
        </w:rPr>
      </w:pPr>
    </w:p>
    <w:p w14:paraId="1D3FE3FA">
      <w:pPr>
        <w:pStyle w:val="32"/>
        <w:spacing w:before="120" w:beforeAutospacing="0" w:after="120" w:afterAutospacing="0" w:line="360" w:lineRule="auto"/>
        <w:jc w:val="both"/>
        <w:rPr>
          <w:rFonts w:ascii="黑体" w:hAnsi="宋体" w:eastAsia="黑体" w:cs="黑体"/>
          <w:color w:val="auto"/>
          <w:sz w:val="44"/>
          <w:szCs w:val="44"/>
        </w:rPr>
      </w:pPr>
      <w:r>
        <w:rPr>
          <w:rFonts w:hint="eastAsia" w:ascii="黑体" w:hAnsi="宋体" w:eastAsia="黑体" w:cs="黑体"/>
          <w:color w:val="auto"/>
          <w:sz w:val="44"/>
          <w:szCs w:val="44"/>
        </w:rPr>
        <w:t> </w:t>
      </w:r>
    </w:p>
    <w:p w14:paraId="0EEEE030">
      <w:pPr>
        <w:pStyle w:val="32"/>
        <w:spacing w:before="120" w:beforeAutospacing="0" w:after="120" w:afterAutospacing="0" w:line="360" w:lineRule="auto"/>
        <w:jc w:val="center"/>
        <w:outlineLvl w:val="0"/>
        <w:rPr>
          <w:color w:val="auto"/>
        </w:rPr>
      </w:pPr>
      <w:r>
        <w:rPr>
          <w:rFonts w:hint="eastAsia" w:ascii="黑体" w:hAnsi="宋体" w:eastAsia="黑体" w:cs="黑体"/>
          <w:color w:val="auto"/>
          <w:sz w:val="44"/>
          <w:szCs w:val="44"/>
        </w:rPr>
        <w:t>第</w:t>
      </w:r>
      <w:bookmarkEnd w:id="178"/>
      <w:r>
        <w:rPr>
          <w:rFonts w:hint="eastAsia" w:ascii="黑体" w:hAnsi="宋体" w:eastAsia="黑体" w:cs="黑体"/>
          <w:color w:val="auto"/>
          <w:sz w:val="44"/>
          <w:szCs w:val="44"/>
        </w:rPr>
        <w:t>四章 采购需求</w:t>
      </w:r>
      <w:bookmarkEnd w:id="179"/>
      <w:bookmarkEnd w:id="180"/>
      <w:bookmarkEnd w:id="181"/>
      <w:bookmarkEnd w:id="182"/>
      <w:bookmarkEnd w:id="183"/>
    </w:p>
    <w:p w14:paraId="798A3E7F">
      <w:pPr>
        <w:spacing w:line="360" w:lineRule="auto"/>
        <w:jc w:val="center"/>
        <w:rPr>
          <w:rFonts w:ascii="宋体" w:hAnsi="宋体" w:eastAsia="宋体" w:cs="宋体"/>
          <w:b/>
          <w:color w:val="auto"/>
          <w:szCs w:val="21"/>
        </w:rPr>
      </w:pPr>
      <w:r>
        <w:rPr>
          <w:rFonts w:hint="eastAsia" w:ascii="宋体" w:hAnsi="宋体" w:eastAsia="宋体" w:cs="宋体"/>
          <w:b/>
          <w:color w:val="auto"/>
          <w:szCs w:val="21"/>
          <w:lang w:val="zh-TW"/>
        </w:rPr>
        <w:t>采购</w:t>
      </w:r>
      <w:r>
        <w:rPr>
          <w:rFonts w:hint="eastAsia" w:ascii="宋体" w:hAnsi="宋体" w:eastAsia="宋体" w:cs="宋体"/>
          <w:b/>
          <w:color w:val="auto"/>
          <w:szCs w:val="21"/>
        </w:rPr>
        <w:t>1包：打击新型犯罪研究支撑服务</w:t>
      </w:r>
    </w:p>
    <w:p w14:paraId="6FED80B8">
      <w:pPr>
        <w:widowControl/>
        <w:spacing w:line="360" w:lineRule="auto"/>
        <w:ind w:firstLine="420"/>
        <w:jc w:val="left"/>
        <w:rPr>
          <w:rFonts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投标人应提供为期1年的专业的SaaS服务，形成大数据多维研判分析、终端多维度画像刻画、嫌疑人马甲研判分析、团伙成员分析扩线、智能报告生成、案件管理、图分析、黑灰产态势分析等能力，支撑用户高效锁定嫌犯，以提高新型涉网犯罪案件的破案率。</w:t>
      </w:r>
    </w:p>
    <w:p w14:paraId="25B22577">
      <w:pPr>
        <w:widowControl/>
        <w:spacing w:line="360" w:lineRule="auto"/>
        <w:ind w:firstLine="422"/>
        <w:jc w:val="left"/>
        <w:rPr>
          <w:rFonts w:ascii="宋体" w:hAnsi="宋体" w:eastAsia="宋体" w:cs="宋体"/>
          <w:b/>
          <w:bCs/>
          <w:color w:val="auto"/>
          <w:szCs w:val="21"/>
        </w:rPr>
      </w:pPr>
      <w:r>
        <w:rPr>
          <w:rFonts w:hint="eastAsia" w:ascii="宋体" w:hAnsi="宋体" w:eastAsia="宋体" w:cs="宋体"/>
          <w:b/>
          <w:bCs/>
          <w:color w:val="auto"/>
          <w:szCs w:val="21"/>
        </w:rPr>
        <w:t>一、功能参数要求</w:t>
      </w:r>
    </w:p>
    <w:p w14:paraId="48C15EFD">
      <w:pPr>
        <w:pStyle w:val="199"/>
        <w:widowControl/>
        <w:spacing w:line="360" w:lineRule="auto"/>
        <w:jc w:val="left"/>
        <w:rPr>
          <w:rFonts w:ascii="宋体" w:hAnsi="宋体" w:cs="宋体"/>
          <w:b/>
          <w:color w:val="auto"/>
          <w:szCs w:val="21"/>
        </w:rPr>
      </w:pPr>
      <w:r>
        <w:rPr>
          <w:rFonts w:hint="eastAsia" w:ascii="宋体" w:hAnsi="宋体" w:cs="宋体"/>
          <w:color w:val="auto"/>
          <w:szCs w:val="21"/>
          <w:shd w:val="clear" w:color="auto" w:fill="FFFFFF"/>
        </w:rPr>
        <w:t>如有需要具体功能详细说明，请与采购联系人联系</w:t>
      </w:r>
    </w:p>
    <w:p w14:paraId="0CE0E3E0">
      <w:pPr>
        <w:widowControl/>
        <w:spacing w:line="360" w:lineRule="auto"/>
        <w:ind w:firstLine="420"/>
        <w:jc w:val="left"/>
        <w:rPr>
          <w:rFonts w:ascii="宋体" w:hAnsi="宋体" w:eastAsia="宋体" w:cs="宋体"/>
          <w:color w:val="auto"/>
          <w:szCs w:val="21"/>
        </w:rPr>
      </w:pPr>
      <w:r>
        <w:rPr>
          <w:rFonts w:hint="eastAsia" w:ascii="宋体" w:hAnsi="宋体" w:eastAsia="宋体" w:cs="宋体"/>
          <w:color w:val="auto"/>
          <w:szCs w:val="21"/>
        </w:rPr>
        <w:t>提供类似锋刃系统功能的大数据协同安全平台高级账号10个，无使用次数限制，服务期1年。</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83"/>
        <w:gridCol w:w="3673"/>
        <w:gridCol w:w="2666"/>
      </w:tblGrid>
      <w:tr w14:paraId="5F03C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765" w:type="dxa"/>
            <w:noWrap/>
            <w:vAlign w:val="center"/>
          </w:tcPr>
          <w:p w14:paraId="22CC70B0">
            <w:pPr>
              <w:spacing w:line="360" w:lineRule="auto"/>
              <w:jc w:val="center"/>
              <w:rPr>
                <w:rFonts w:ascii="宋体" w:hAnsi="宋体" w:eastAsia="宋体" w:cs="宋体"/>
                <w:b/>
                <w:bCs/>
                <w:color w:val="auto"/>
                <w:szCs w:val="21"/>
                <w:shd w:val="clear" w:color="auto" w:fill="FFFFFF"/>
              </w:rPr>
            </w:pPr>
            <w:r>
              <w:rPr>
                <w:rFonts w:hint="eastAsia" w:ascii="宋体" w:hAnsi="宋体" w:eastAsia="宋体" w:cs="宋体"/>
                <w:b/>
                <w:bCs/>
                <w:color w:val="auto"/>
                <w:szCs w:val="21"/>
                <w:shd w:val="clear" w:color="auto" w:fill="FFFFFF"/>
              </w:rPr>
              <w:t>一级功能</w:t>
            </w:r>
          </w:p>
        </w:tc>
        <w:tc>
          <w:tcPr>
            <w:tcW w:w="3940" w:type="dxa"/>
            <w:noWrap/>
            <w:vAlign w:val="center"/>
          </w:tcPr>
          <w:p w14:paraId="4D706EFD">
            <w:pPr>
              <w:spacing w:line="360" w:lineRule="auto"/>
              <w:jc w:val="center"/>
              <w:rPr>
                <w:rFonts w:ascii="宋体" w:hAnsi="宋体" w:eastAsia="宋体" w:cs="宋体"/>
                <w:b/>
                <w:bCs/>
                <w:color w:val="auto"/>
                <w:szCs w:val="21"/>
                <w:shd w:val="clear" w:color="auto" w:fill="FFFFFF"/>
              </w:rPr>
            </w:pPr>
            <w:r>
              <w:rPr>
                <w:rFonts w:hint="eastAsia" w:ascii="宋体" w:hAnsi="宋体" w:eastAsia="宋体" w:cs="宋体"/>
                <w:b/>
                <w:bCs/>
                <w:color w:val="auto"/>
                <w:szCs w:val="21"/>
                <w:shd w:val="clear" w:color="auto" w:fill="FFFFFF"/>
              </w:rPr>
              <w:t>二级功能</w:t>
            </w:r>
          </w:p>
        </w:tc>
        <w:tc>
          <w:tcPr>
            <w:tcW w:w="2855" w:type="dxa"/>
            <w:noWrap/>
          </w:tcPr>
          <w:p w14:paraId="2864AD85">
            <w:pPr>
              <w:spacing w:line="360" w:lineRule="auto"/>
              <w:jc w:val="center"/>
              <w:rPr>
                <w:rFonts w:ascii="宋体" w:hAnsi="宋体" w:eastAsia="宋体" w:cs="宋体"/>
                <w:b/>
                <w:bCs/>
                <w:color w:val="auto"/>
                <w:szCs w:val="21"/>
                <w:shd w:val="clear" w:color="auto" w:fill="FFFFFF"/>
              </w:rPr>
            </w:pPr>
            <w:r>
              <w:rPr>
                <w:rFonts w:hint="eastAsia" w:ascii="宋体" w:hAnsi="宋体" w:eastAsia="宋体" w:cs="宋体"/>
                <w:b/>
                <w:bCs/>
                <w:color w:val="auto"/>
                <w:szCs w:val="21"/>
              </w:rPr>
              <w:t>最大使用次数/账号/年（共10个账号）</w:t>
            </w:r>
          </w:p>
        </w:tc>
      </w:tr>
      <w:tr w14:paraId="088A3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vMerge w:val="restart"/>
            <w:noWrap/>
            <w:vAlign w:val="center"/>
          </w:tcPr>
          <w:p w14:paraId="3AD1F640">
            <w:pPr>
              <w:jc w:val="center"/>
              <w:rPr>
                <w:rFonts w:ascii="宋体" w:hAnsi="宋体" w:eastAsia="宋体" w:cs="宋体"/>
                <w:color w:val="auto"/>
                <w:szCs w:val="21"/>
              </w:rPr>
            </w:pPr>
            <w:r>
              <w:rPr>
                <w:rFonts w:hint="eastAsia" w:ascii="宋体" w:hAnsi="宋体" w:eastAsia="宋体" w:cs="宋体"/>
                <w:color w:val="auto"/>
                <w:szCs w:val="21"/>
              </w:rPr>
              <w:t>大数据多维研判分析</w:t>
            </w:r>
          </w:p>
        </w:tc>
        <w:tc>
          <w:tcPr>
            <w:tcW w:w="3940" w:type="dxa"/>
            <w:noWrap/>
            <w:vAlign w:val="center"/>
          </w:tcPr>
          <w:p w14:paraId="63E15681">
            <w:pPr>
              <w:widowControl/>
              <w:spacing w:line="360" w:lineRule="auto"/>
              <w:jc w:val="center"/>
              <w:rPr>
                <w:rFonts w:ascii="宋体" w:hAnsi="宋体" w:eastAsia="宋体" w:cs="宋体"/>
                <w:b/>
                <w:bCs/>
                <w:color w:val="auto"/>
                <w:szCs w:val="21"/>
                <w:shd w:val="clear" w:color="auto" w:fill="FFFFFF"/>
              </w:rPr>
            </w:pPr>
            <w:r>
              <w:rPr>
                <w:rFonts w:hint="eastAsia" w:ascii="宋体" w:hAnsi="宋体" w:eastAsia="宋体" w:cs="宋体"/>
                <w:color w:val="auto"/>
                <w:szCs w:val="21"/>
              </w:rPr>
              <w:t>域名溯源分析</w:t>
            </w:r>
          </w:p>
        </w:tc>
        <w:tc>
          <w:tcPr>
            <w:tcW w:w="2855" w:type="dxa"/>
            <w:noWrap/>
            <w:vAlign w:val="center"/>
          </w:tcPr>
          <w:p w14:paraId="3383CE35">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无限制</w:t>
            </w:r>
          </w:p>
        </w:tc>
      </w:tr>
      <w:tr w14:paraId="5DE0D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vMerge w:val="continue"/>
            <w:noWrap/>
            <w:vAlign w:val="center"/>
          </w:tcPr>
          <w:p w14:paraId="6FE19263">
            <w:pPr>
              <w:spacing w:line="360" w:lineRule="auto"/>
              <w:jc w:val="center"/>
              <w:rPr>
                <w:rFonts w:ascii="宋体" w:hAnsi="宋体" w:eastAsia="宋体" w:cs="宋体"/>
                <w:b/>
                <w:bCs/>
                <w:color w:val="auto"/>
                <w:szCs w:val="21"/>
                <w:shd w:val="clear" w:color="auto" w:fill="FFFFFF"/>
              </w:rPr>
            </w:pPr>
          </w:p>
        </w:tc>
        <w:tc>
          <w:tcPr>
            <w:tcW w:w="3940" w:type="dxa"/>
            <w:noWrap/>
            <w:vAlign w:val="center"/>
          </w:tcPr>
          <w:p w14:paraId="585420C9">
            <w:pPr>
              <w:widowControl/>
              <w:spacing w:line="360" w:lineRule="auto"/>
              <w:jc w:val="center"/>
              <w:rPr>
                <w:rFonts w:ascii="宋体" w:hAnsi="宋体" w:eastAsia="宋体" w:cs="宋体"/>
                <w:b/>
                <w:bCs/>
                <w:color w:val="auto"/>
                <w:szCs w:val="21"/>
                <w:shd w:val="clear" w:color="auto" w:fill="FFFFFF"/>
              </w:rPr>
            </w:pPr>
            <w:r>
              <w:rPr>
                <w:rFonts w:hint="eastAsia" w:ascii="宋体" w:hAnsi="宋体" w:eastAsia="宋体" w:cs="宋体"/>
                <w:color w:val="auto"/>
                <w:szCs w:val="21"/>
              </w:rPr>
              <w:t>IP溯源分析</w:t>
            </w:r>
          </w:p>
        </w:tc>
        <w:tc>
          <w:tcPr>
            <w:tcW w:w="2855" w:type="dxa"/>
            <w:noWrap/>
            <w:vAlign w:val="center"/>
          </w:tcPr>
          <w:p w14:paraId="1DC70523">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无限制</w:t>
            </w:r>
          </w:p>
        </w:tc>
      </w:tr>
      <w:tr w14:paraId="1819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765" w:type="dxa"/>
            <w:vMerge w:val="continue"/>
            <w:noWrap/>
            <w:vAlign w:val="center"/>
          </w:tcPr>
          <w:p w14:paraId="75211780">
            <w:pPr>
              <w:spacing w:line="360" w:lineRule="auto"/>
              <w:jc w:val="center"/>
              <w:rPr>
                <w:rFonts w:ascii="宋体" w:hAnsi="宋体" w:eastAsia="宋体" w:cs="宋体"/>
                <w:b/>
                <w:bCs/>
                <w:color w:val="auto"/>
                <w:szCs w:val="21"/>
                <w:shd w:val="clear" w:color="auto" w:fill="FFFFFF"/>
              </w:rPr>
            </w:pPr>
          </w:p>
        </w:tc>
        <w:tc>
          <w:tcPr>
            <w:tcW w:w="3940" w:type="dxa"/>
            <w:noWrap/>
            <w:vAlign w:val="center"/>
          </w:tcPr>
          <w:p w14:paraId="29263D44">
            <w:pPr>
              <w:widowControl/>
              <w:spacing w:line="360" w:lineRule="auto"/>
              <w:jc w:val="center"/>
              <w:rPr>
                <w:rFonts w:ascii="宋体" w:hAnsi="宋体" w:eastAsia="宋体" w:cs="宋体"/>
                <w:b/>
                <w:bCs/>
                <w:color w:val="auto"/>
                <w:szCs w:val="21"/>
                <w:shd w:val="clear" w:color="auto" w:fill="FFFFFF"/>
              </w:rPr>
            </w:pPr>
            <w:r>
              <w:rPr>
                <w:rFonts w:hint="eastAsia" w:ascii="宋体" w:hAnsi="宋体" w:eastAsia="宋体" w:cs="宋体"/>
                <w:color w:val="auto"/>
                <w:szCs w:val="21"/>
              </w:rPr>
              <w:t>APK溯源分析</w:t>
            </w:r>
          </w:p>
        </w:tc>
        <w:tc>
          <w:tcPr>
            <w:tcW w:w="2855" w:type="dxa"/>
            <w:noWrap/>
            <w:vAlign w:val="center"/>
          </w:tcPr>
          <w:p w14:paraId="7CBA2924">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无限制</w:t>
            </w:r>
          </w:p>
        </w:tc>
      </w:tr>
      <w:tr w14:paraId="43E8F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ign w:val="center"/>
          </w:tcPr>
          <w:p w14:paraId="0DAE4966">
            <w:pPr>
              <w:widowControl/>
              <w:spacing w:line="360" w:lineRule="auto"/>
              <w:jc w:val="center"/>
              <w:rPr>
                <w:rFonts w:ascii="宋体" w:hAnsi="宋体" w:eastAsia="宋体" w:cs="宋体"/>
                <w:b/>
                <w:bCs/>
                <w:color w:val="auto"/>
                <w:szCs w:val="21"/>
                <w:shd w:val="clear" w:color="auto" w:fill="FFFFFF"/>
              </w:rPr>
            </w:pPr>
            <w:r>
              <w:rPr>
                <w:rFonts w:hint="eastAsia" w:ascii="宋体" w:hAnsi="宋体" w:eastAsia="宋体" w:cs="宋体"/>
                <w:color w:val="auto"/>
                <w:szCs w:val="21"/>
              </w:rPr>
              <w:t>终端多维度画像刻画</w:t>
            </w:r>
          </w:p>
        </w:tc>
        <w:tc>
          <w:tcPr>
            <w:tcW w:w="3940" w:type="dxa"/>
            <w:noWrap/>
            <w:vAlign w:val="center"/>
          </w:tcPr>
          <w:p w14:paraId="19C486E4">
            <w:pPr>
              <w:widowControl/>
              <w:spacing w:line="360" w:lineRule="auto"/>
              <w:jc w:val="center"/>
              <w:rPr>
                <w:rFonts w:ascii="宋体" w:hAnsi="宋体" w:eastAsia="宋体" w:cs="宋体"/>
                <w:b/>
                <w:bCs/>
                <w:color w:val="auto"/>
                <w:szCs w:val="21"/>
                <w:shd w:val="clear" w:color="auto" w:fill="FFFFFF"/>
              </w:rPr>
            </w:pPr>
            <w:r>
              <w:rPr>
                <w:rFonts w:hint="eastAsia" w:ascii="宋体" w:hAnsi="宋体" w:eastAsia="宋体" w:cs="宋体"/>
                <w:color w:val="auto"/>
                <w:szCs w:val="21"/>
              </w:rPr>
              <w:t>终端画像</w:t>
            </w:r>
          </w:p>
        </w:tc>
        <w:tc>
          <w:tcPr>
            <w:tcW w:w="2855" w:type="dxa"/>
            <w:noWrap/>
            <w:vAlign w:val="center"/>
          </w:tcPr>
          <w:p w14:paraId="12616C55">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无限制</w:t>
            </w:r>
          </w:p>
        </w:tc>
      </w:tr>
      <w:tr w14:paraId="760F3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ign w:val="center"/>
          </w:tcPr>
          <w:p w14:paraId="74C3E0CD">
            <w:pPr>
              <w:widowControl/>
              <w:spacing w:line="360" w:lineRule="auto"/>
              <w:jc w:val="center"/>
              <w:rPr>
                <w:rFonts w:ascii="宋体" w:hAnsi="宋体" w:eastAsia="宋体" w:cs="宋体"/>
                <w:b/>
                <w:bCs/>
                <w:color w:val="auto"/>
                <w:szCs w:val="21"/>
                <w:shd w:val="clear" w:color="auto" w:fill="FFFFFF"/>
              </w:rPr>
            </w:pPr>
            <w:r>
              <w:rPr>
                <w:rFonts w:hint="eastAsia" w:ascii="宋体" w:hAnsi="宋体" w:eastAsia="宋体" w:cs="宋体"/>
                <w:color w:val="auto"/>
                <w:szCs w:val="21"/>
              </w:rPr>
              <w:t>嫌疑人马甲研判分析</w:t>
            </w:r>
          </w:p>
        </w:tc>
        <w:tc>
          <w:tcPr>
            <w:tcW w:w="3940" w:type="dxa"/>
            <w:noWrap/>
            <w:vAlign w:val="center"/>
          </w:tcPr>
          <w:p w14:paraId="0826B195">
            <w:pPr>
              <w:widowControl/>
              <w:spacing w:line="360" w:lineRule="auto"/>
              <w:jc w:val="center"/>
              <w:rPr>
                <w:rFonts w:ascii="宋体" w:hAnsi="宋体" w:eastAsia="宋体" w:cs="宋体"/>
                <w:b/>
                <w:bCs/>
                <w:color w:val="auto"/>
                <w:szCs w:val="21"/>
                <w:shd w:val="clear" w:color="auto" w:fill="FFFFFF"/>
              </w:rPr>
            </w:pPr>
            <w:r>
              <w:rPr>
                <w:rFonts w:hint="eastAsia" w:ascii="宋体" w:hAnsi="宋体" w:eastAsia="宋体" w:cs="宋体"/>
                <w:color w:val="auto"/>
                <w:szCs w:val="21"/>
              </w:rPr>
              <w:t>马甲追踪</w:t>
            </w:r>
          </w:p>
        </w:tc>
        <w:tc>
          <w:tcPr>
            <w:tcW w:w="2855" w:type="dxa"/>
            <w:noWrap/>
            <w:vAlign w:val="center"/>
          </w:tcPr>
          <w:p w14:paraId="75D04680">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无限制</w:t>
            </w:r>
          </w:p>
        </w:tc>
      </w:tr>
      <w:tr w14:paraId="73B2D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ign w:val="center"/>
          </w:tcPr>
          <w:p w14:paraId="110B4C13">
            <w:pPr>
              <w:widowControl/>
              <w:spacing w:line="360" w:lineRule="auto"/>
              <w:jc w:val="center"/>
              <w:rPr>
                <w:rFonts w:ascii="宋体" w:hAnsi="宋体" w:eastAsia="宋体" w:cs="宋体"/>
                <w:b/>
                <w:bCs/>
                <w:color w:val="auto"/>
                <w:szCs w:val="21"/>
                <w:shd w:val="clear" w:color="auto" w:fill="FFFFFF"/>
              </w:rPr>
            </w:pPr>
            <w:r>
              <w:rPr>
                <w:rFonts w:hint="eastAsia" w:ascii="宋体" w:hAnsi="宋体" w:eastAsia="宋体" w:cs="宋体"/>
                <w:color w:val="auto"/>
                <w:szCs w:val="21"/>
              </w:rPr>
              <w:t>团伙成员分析扩线</w:t>
            </w:r>
          </w:p>
        </w:tc>
        <w:tc>
          <w:tcPr>
            <w:tcW w:w="3940" w:type="dxa"/>
            <w:noWrap/>
            <w:vAlign w:val="center"/>
          </w:tcPr>
          <w:p w14:paraId="44594DBC">
            <w:pPr>
              <w:widowControl/>
              <w:spacing w:line="360" w:lineRule="auto"/>
              <w:jc w:val="center"/>
              <w:rPr>
                <w:rFonts w:ascii="宋体" w:hAnsi="宋体" w:eastAsia="宋体" w:cs="宋体"/>
                <w:b/>
                <w:bCs/>
                <w:color w:val="auto"/>
                <w:szCs w:val="21"/>
                <w:shd w:val="clear" w:color="auto" w:fill="FFFFFF"/>
              </w:rPr>
            </w:pPr>
            <w:r>
              <w:rPr>
                <w:rFonts w:hint="eastAsia" w:ascii="宋体" w:hAnsi="宋体" w:eastAsia="宋体" w:cs="宋体"/>
                <w:color w:val="auto"/>
                <w:szCs w:val="21"/>
              </w:rPr>
              <w:t>终端发现</w:t>
            </w:r>
          </w:p>
        </w:tc>
        <w:tc>
          <w:tcPr>
            <w:tcW w:w="2855" w:type="dxa"/>
            <w:noWrap/>
            <w:vAlign w:val="center"/>
          </w:tcPr>
          <w:p w14:paraId="40DBF5F7">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无限制</w:t>
            </w:r>
          </w:p>
        </w:tc>
      </w:tr>
      <w:tr w14:paraId="1F046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ign w:val="center"/>
          </w:tcPr>
          <w:p w14:paraId="32B55DC8">
            <w:pPr>
              <w:widowControl/>
              <w:spacing w:line="360" w:lineRule="auto"/>
              <w:jc w:val="center"/>
              <w:rPr>
                <w:rFonts w:ascii="宋体" w:hAnsi="宋体" w:eastAsia="宋体" w:cs="宋体"/>
                <w:b/>
                <w:bCs/>
                <w:color w:val="auto"/>
                <w:szCs w:val="21"/>
                <w:shd w:val="clear" w:color="auto" w:fill="FFFFFF"/>
              </w:rPr>
            </w:pPr>
            <w:r>
              <w:rPr>
                <w:rFonts w:hint="eastAsia" w:ascii="宋体" w:hAnsi="宋体" w:eastAsia="宋体" w:cs="宋体"/>
                <w:color w:val="auto"/>
                <w:szCs w:val="21"/>
              </w:rPr>
              <w:t>智能报告模块</w:t>
            </w:r>
          </w:p>
        </w:tc>
        <w:tc>
          <w:tcPr>
            <w:tcW w:w="3940" w:type="dxa"/>
            <w:noWrap/>
            <w:vAlign w:val="center"/>
          </w:tcPr>
          <w:p w14:paraId="1B7167CF">
            <w:pPr>
              <w:widowControl/>
              <w:spacing w:line="360" w:lineRule="auto"/>
              <w:jc w:val="center"/>
              <w:rPr>
                <w:rFonts w:ascii="宋体" w:hAnsi="宋体" w:eastAsia="宋体" w:cs="宋体"/>
                <w:b/>
                <w:bCs/>
                <w:color w:val="auto"/>
                <w:szCs w:val="21"/>
                <w:shd w:val="clear" w:color="auto" w:fill="FFFFFF"/>
              </w:rPr>
            </w:pPr>
            <w:r>
              <w:rPr>
                <w:rFonts w:hint="eastAsia" w:ascii="宋体" w:hAnsi="宋体" w:eastAsia="宋体" w:cs="宋体"/>
                <w:color w:val="auto"/>
                <w:szCs w:val="21"/>
              </w:rPr>
              <w:t>智能报告</w:t>
            </w:r>
          </w:p>
        </w:tc>
        <w:tc>
          <w:tcPr>
            <w:tcW w:w="2855" w:type="dxa"/>
            <w:noWrap/>
            <w:vAlign w:val="center"/>
          </w:tcPr>
          <w:p w14:paraId="123FC7A7">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无限制</w:t>
            </w:r>
          </w:p>
        </w:tc>
      </w:tr>
      <w:tr w14:paraId="74B0A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vMerge w:val="restart"/>
            <w:noWrap/>
            <w:vAlign w:val="center"/>
          </w:tcPr>
          <w:p w14:paraId="45EDB8A4">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案件管理</w:t>
            </w:r>
          </w:p>
        </w:tc>
        <w:tc>
          <w:tcPr>
            <w:tcW w:w="3940" w:type="dxa"/>
            <w:noWrap/>
            <w:vAlign w:val="center"/>
          </w:tcPr>
          <w:p w14:paraId="58E17E72">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案件管理</w:t>
            </w:r>
          </w:p>
        </w:tc>
        <w:tc>
          <w:tcPr>
            <w:tcW w:w="2855" w:type="dxa"/>
            <w:noWrap/>
            <w:vAlign w:val="center"/>
          </w:tcPr>
          <w:p w14:paraId="44D1351E">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无限制</w:t>
            </w:r>
          </w:p>
        </w:tc>
      </w:tr>
      <w:tr w14:paraId="2FC47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vMerge w:val="continue"/>
            <w:noWrap/>
            <w:vAlign w:val="center"/>
          </w:tcPr>
          <w:p w14:paraId="4383CA3B">
            <w:pPr>
              <w:widowControl/>
              <w:spacing w:line="360" w:lineRule="auto"/>
              <w:jc w:val="center"/>
              <w:rPr>
                <w:rFonts w:ascii="宋体" w:hAnsi="宋体" w:eastAsia="宋体" w:cs="宋体"/>
                <w:color w:val="auto"/>
                <w:szCs w:val="21"/>
              </w:rPr>
            </w:pPr>
          </w:p>
        </w:tc>
        <w:tc>
          <w:tcPr>
            <w:tcW w:w="3940" w:type="dxa"/>
            <w:noWrap/>
            <w:vAlign w:val="center"/>
          </w:tcPr>
          <w:p w14:paraId="3930299F">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账号审计</w:t>
            </w:r>
          </w:p>
        </w:tc>
        <w:tc>
          <w:tcPr>
            <w:tcW w:w="2855" w:type="dxa"/>
            <w:noWrap/>
            <w:vAlign w:val="center"/>
          </w:tcPr>
          <w:p w14:paraId="091E73CE">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无限制</w:t>
            </w:r>
          </w:p>
        </w:tc>
      </w:tr>
      <w:tr w14:paraId="2308F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vMerge w:val="continue"/>
            <w:noWrap/>
            <w:vAlign w:val="center"/>
          </w:tcPr>
          <w:p w14:paraId="00618A9A">
            <w:pPr>
              <w:widowControl/>
              <w:spacing w:line="360" w:lineRule="auto"/>
              <w:jc w:val="center"/>
              <w:rPr>
                <w:rFonts w:ascii="宋体" w:hAnsi="宋体" w:eastAsia="宋体" w:cs="宋体"/>
                <w:color w:val="auto"/>
                <w:szCs w:val="21"/>
              </w:rPr>
            </w:pPr>
          </w:p>
        </w:tc>
        <w:tc>
          <w:tcPr>
            <w:tcW w:w="3940" w:type="dxa"/>
            <w:noWrap/>
            <w:vAlign w:val="center"/>
          </w:tcPr>
          <w:p w14:paraId="62C2A1DA">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申请案件协助</w:t>
            </w:r>
          </w:p>
        </w:tc>
        <w:tc>
          <w:tcPr>
            <w:tcW w:w="2855" w:type="dxa"/>
            <w:noWrap/>
            <w:vAlign w:val="center"/>
          </w:tcPr>
          <w:p w14:paraId="74B85FB8">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无限制</w:t>
            </w:r>
          </w:p>
        </w:tc>
      </w:tr>
      <w:tr w14:paraId="22920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vMerge w:val="restart"/>
            <w:noWrap/>
            <w:vAlign w:val="center"/>
          </w:tcPr>
          <w:p w14:paraId="183236B7">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图分析</w:t>
            </w:r>
          </w:p>
        </w:tc>
        <w:tc>
          <w:tcPr>
            <w:tcW w:w="3940" w:type="dxa"/>
            <w:noWrap/>
            <w:vAlign w:val="center"/>
          </w:tcPr>
          <w:p w14:paraId="3A5E97B5">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基础数据图分析</w:t>
            </w:r>
          </w:p>
        </w:tc>
        <w:tc>
          <w:tcPr>
            <w:tcW w:w="2855" w:type="dxa"/>
            <w:noWrap/>
            <w:vAlign w:val="center"/>
          </w:tcPr>
          <w:p w14:paraId="3BBCB4E3">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无限制</w:t>
            </w:r>
          </w:p>
        </w:tc>
      </w:tr>
      <w:tr w14:paraId="3D22E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vMerge w:val="continue"/>
            <w:noWrap/>
            <w:vAlign w:val="center"/>
          </w:tcPr>
          <w:p w14:paraId="71176264">
            <w:pPr>
              <w:widowControl/>
              <w:spacing w:line="360" w:lineRule="auto"/>
              <w:jc w:val="center"/>
              <w:rPr>
                <w:rFonts w:ascii="宋体" w:hAnsi="宋体" w:eastAsia="宋体" w:cs="宋体"/>
                <w:color w:val="auto"/>
                <w:szCs w:val="21"/>
              </w:rPr>
            </w:pPr>
          </w:p>
        </w:tc>
        <w:tc>
          <w:tcPr>
            <w:tcW w:w="3940" w:type="dxa"/>
            <w:noWrap/>
            <w:vAlign w:val="center"/>
          </w:tcPr>
          <w:p w14:paraId="4A6BBF2B">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团伙发现图分析</w:t>
            </w:r>
          </w:p>
        </w:tc>
        <w:tc>
          <w:tcPr>
            <w:tcW w:w="2855" w:type="dxa"/>
            <w:noWrap/>
            <w:vAlign w:val="center"/>
          </w:tcPr>
          <w:p w14:paraId="4268BA95">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无限制</w:t>
            </w:r>
          </w:p>
        </w:tc>
      </w:tr>
      <w:tr w14:paraId="48753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ign w:val="center"/>
          </w:tcPr>
          <w:p w14:paraId="76A43574">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黑灰产态势</w:t>
            </w:r>
          </w:p>
        </w:tc>
        <w:tc>
          <w:tcPr>
            <w:tcW w:w="3940" w:type="dxa"/>
            <w:noWrap/>
            <w:vAlign w:val="center"/>
          </w:tcPr>
          <w:p w14:paraId="44F6C894">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黑灰产态势</w:t>
            </w:r>
          </w:p>
        </w:tc>
        <w:tc>
          <w:tcPr>
            <w:tcW w:w="2855" w:type="dxa"/>
            <w:noWrap/>
            <w:vAlign w:val="center"/>
          </w:tcPr>
          <w:p w14:paraId="3CF20E39">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无限制</w:t>
            </w:r>
          </w:p>
        </w:tc>
      </w:tr>
      <w:tr w14:paraId="52E2C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ign w:val="center"/>
          </w:tcPr>
          <w:p w14:paraId="2DB43438">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用户中心</w:t>
            </w:r>
          </w:p>
        </w:tc>
        <w:tc>
          <w:tcPr>
            <w:tcW w:w="3940" w:type="dxa"/>
            <w:noWrap/>
            <w:vAlign w:val="center"/>
          </w:tcPr>
          <w:p w14:paraId="57C8F424">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用户中心</w:t>
            </w:r>
          </w:p>
        </w:tc>
        <w:tc>
          <w:tcPr>
            <w:tcW w:w="2855" w:type="dxa"/>
            <w:noWrap/>
            <w:vAlign w:val="center"/>
          </w:tcPr>
          <w:p w14:paraId="53448177">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无限制</w:t>
            </w:r>
          </w:p>
        </w:tc>
      </w:tr>
      <w:tr w14:paraId="44A45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vMerge w:val="restart"/>
            <w:noWrap/>
            <w:vAlign w:val="center"/>
          </w:tcPr>
          <w:p w14:paraId="36BA2E1D">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系统管理</w:t>
            </w:r>
          </w:p>
        </w:tc>
        <w:tc>
          <w:tcPr>
            <w:tcW w:w="3940" w:type="dxa"/>
            <w:noWrap/>
            <w:vAlign w:val="center"/>
          </w:tcPr>
          <w:p w14:paraId="5BCCC4F3">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个人中心</w:t>
            </w:r>
          </w:p>
        </w:tc>
        <w:tc>
          <w:tcPr>
            <w:tcW w:w="2855" w:type="dxa"/>
            <w:noWrap/>
            <w:vAlign w:val="center"/>
          </w:tcPr>
          <w:p w14:paraId="5A251AAE">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无限制</w:t>
            </w:r>
          </w:p>
        </w:tc>
      </w:tr>
      <w:tr w14:paraId="06098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vMerge w:val="continue"/>
            <w:noWrap/>
          </w:tcPr>
          <w:p w14:paraId="2C74A641">
            <w:pPr>
              <w:widowControl/>
              <w:spacing w:line="360" w:lineRule="auto"/>
              <w:jc w:val="left"/>
              <w:rPr>
                <w:rFonts w:ascii="宋体" w:hAnsi="宋体" w:eastAsia="宋体" w:cs="宋体"/>
                <w:color w:val="auto"/>
                <w:szCs w:val="21"/>
              </w:rPr>
            </w:pPr>
          </w:p>
        </w:tc>
        <w:tc>
          <w:tcPr>
            <w:tcW w:w="3940" w:type="dxa"/>
            <w:noWrap/>
            <w:vAlign w:val="center"/>
          </w:tcPr>
          <w:p w14:paraId="5AE56481">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安全登录</w:t>
            </w:r>
          </w:p>
        </w:tc>
        <w:tc>
          <w:tcPr>
            <w:tcW w:w="2855" w:type="dxa"/>
            <w:noWrap/>
            <w:vAlign w:val="center"/>
          </w:tcPr>
          <w:p w14:paraId="0F2C622B">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无限制</w:t>
            </w:r>
          </w:p>
        </w:tc>
      </w:tr>
    </w:tbl>
    <w:p w14:paraId="5B058B61">
      <w:pPr>
        <w:pStyle w:val="199"/>
        <w:widowControl/>
        <w:spacing w:line="360" w:lineRule="auto"/>
        <w:ind w:firstLine="422"/>
        <w:jc w:val="left"/>
        <w:rPr>
          <w:rFonts w:ascii="宋体" w:hAnsi="宋体" w:cs="宋体"/>
          <w:b/>
          <w:color w:val="auto"/>
          <w:szCs w:val="21"/>
        </w:rPr>
      </w:pPr>
      <w:r>
        <w:rPr>
          <w:rFonts w:hint="eastAsia" w:ascii="宋体" w:hAnsi="宋体" w:cs="宋体"/>
          <w:b/>
          <w:color w:val="auto"/>
          <w:szCs w:val="21"/>
        </w:rPr>
        <w:t>二、售后服务要求</w:t>
      </w:r>
    </w:p>
    <w:p w14:paraId="76E63099">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1.中标人应提供售后服务承诺书，同时配备专门项目实施团队，包括项目经理以及实施工程师，项目经理需与采购人做好对接工作，负责项目实施的整体把控。实施工程师负责系统安装调试、功能配置、安全保障、运行维护等。</w:t>
      </w:r>
    </w:p>
    <w:p w14:paraId="3D596180">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★2.服务响应时间要求：提供7×24小时电话响应服务，响应时间为1小时。</w:t>
      </w:r>
    </w:p>
    <w:p w14:paraId="3093E91D">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★3.中标人应能提供多种形式的技术支持服务，解决软件出现的技术问题。</w:t>
      </w:r>
    </w:p>
    <w:p w14:paraId="4CA7E380">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★4.投标人应按其投标文件中的承诺，进行其他售后服务工作。</w:t>
      </w:r>
    </w:p>
    <w:p w14:paraId="30BB2B22">
      <w:pPr>
        <w:pStyle w:val="199"/>
        <w:widowControl/>
        <w:spacing w:line="360" w:lineRule="auto"/>
        <w:ind w:firstLine="422"/>
        <w:jc w:val="left"/>
        <w:rPr>
          <w:rFonts w:ascii="宋体" w:hAnsi="宋体" w:cs="宋体"/>
          <w:b/>
          <w:i/>
          <w:iCs/>
          <w:color w:val="auto"/>
          <w:szCs w:val="21"/>
          <w:highlight w:val="yellow"/>
          <w:u w:val="single"/>
        </w:rPr>
      </w:pPr>
      <w:r>
        <w:rPr>
          <w:rFonts w:hint="eastAsia" w:ascii="宋体" w:hAnsi="宋体" w:cs="宋体"/>
          <w:b/>
          <w:i/>
          <w:iCs/>
          <w:color w:val="auto"/>
          <w:szCs w:val="21"/>
          <w:highlight w:val="none"/>
          <w:u w:val="single"/>
        </w:rPr>
        <w:t>说明：以上四项（标★项）为实质性要求，投标时提供以上响应承诺函加盖投标人公章（格式自拟），未提供的按未实质性响应处理。</w:t>
      </w:r>
    </w:p>
    <w:p w14:paraId="77BCD1D5">
      <w:pPr>
        <w:pStyle w:val="199"/>
        <w:widowControl/>
        <w:spacing w:line="360" w:lineRule="auto"/>
        <w:ind w:firstLine="422"/>
        <w:jc w:val="left"/>
        <w:rPr>
          <w:rFonts w:ascii="宋体" w:hAnsi="宋体" w:cs="宋体"/>
          <w:b/>
          <w:color w:val="auto"/>
          <w:szCs w:val="21"/>
        </w:rPr>
      </w:pPr>
      <w:r>
        <w:rPr>
          <w:rFonts w:hint="eastAsia" w:ascii="宋体" w:hAnsi="宋体" w:cs="宋体"/>
          <w:b/>
          <w:color w:val="auto"/>
          <w:szCs w:val="21"/>
        </w:rPr>
        <w:t>三、验收说明</w:t>
      </w:r>
    </w:p>
    <w:p w14:paraId="6DA7EB4D">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按照招标文件规定的技术、服务等要求由招标人组织对中标人履约的验收。</w:t>
      </w:r>
    </w:p>
    <w:p w14:paraId="0114D71C">
      <w:pPr>
        <w:pStyle w:val="199"/>
        <w:widowControl/>
        <w:spacing w:line="360" w:lineRule="auto"/>
        <w:ind w:firstLine="422"/>
        <w:jc w:val="left"/>
        <w:rPr>
          <w:rFonts w:ascii="宋体" w:hAnsi="宋体" w:cs="宋体"/>
          <w:b/>
          <w:color w:val="auto"/>
          <w:szCs w:val="21"/>
        </w:rPr>
      </w:pPr>
      <w:r>
        <w:rPr>
          <w:rFonts w:hint="eastAsia" w:ascii="宋体" w:hAnsi="宋体" w:cs="宋体"/>
          <w:b/>
          <w:color w:val="auto"/>
          <w:szCs w:val="21"/>
        </w:rPr>
        <w:t>四、培训要求</w:t>
      </w:r>
    </w:p>
    <w:p w14:paraId="7808F8C4">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★1. 投标人提供免费上门培训，有完善的培训计划，并附详细培训课程。</w:t>
      </w:r>
    </w:p>
    <w:p w14:paraId="72825013">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★2. 投标人提供技术资料完善，产品介绍详细，产品功能贴近实战。</w:t>
      </w:r>
    </w:p>
    <w:p w14:paraId="336B15BC">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★3. 售后服务方案具体、详细、合理可行，可操作性强。</w:t>
      </w:r>
    </w:p>
    <w:p w14:paraId="4AC320A8">
      <w:pPr>
        <w:pStyle w:val="199"/>
        <w:widowControl/>
        <w:spacing w:line="360" w:lineRule="auto"/>
        <w:ind w:firstLine="422"/>
        <w:jc w:val="left"/>
        <w:rPr>
          <w:rFonts w:ascii="宋体" w:hAnsi="宋体" w:cs="宋体"/>
          <w:bCs/>
          <w:i/>
          <w:iCs/>
          <w:color w:val="auto"/>
          <w:szCs w:val="21"/>
          <w:highlight w:val="none"/>
          <w:u w:val="single"/>
        </w:rPr>
      </w:pPr>
      <w:r>
        <w:rPr>
          <w:rFonts w:hint="eastAsia" w:ascii="宋体" w:hAnsi="宋体" w:cs="宋体"/>
          <w:b/>
          <w:i/>
          <w:iCs/>
          <w:color w:val="auto"/>
          <w:szCs w:val="21"/>
          <w:highlight w:val="none"/>
          <w:u w:val="single"/>
        </w:rPr>
        <w:t>说明：以上三项（标★项）为实质性要求，投标时提供以上响应服务内容并加盖投标人公章，未提供的按未实质性响应处理。</w:t>
      </w:r>
    </w:p>
    <w:p w14:paraId="3E578E40">
      <w:pPr>
        <w:pStyle w:val="199"/>
        <w:widowControl/>
        <w:spacing w:line="360" w:lineRule="auto"/>
        <w:ind w:firstLine="422"/>
        <w:jc w:val="left"/>
        <w:rPr>
          <w:rFonts w:ascii="宋体" w:hAnsi="宋体" w:cs="宋体"/>
          <w:b/>
          <w:color w:val="auto"/>
          <w:szCs w:val="21"/>
        </w:rPr>
      </w:pPr>
      <w:r>
        <w:rPr>
          <w:rFonts w:hint="eastAsia" w:ascii="宋体" w:hAnsi="宋体" w:cs="宋体"/>
          <w:b/>
          <w:color w:val="auto"/>
          <w:szCs w:val="21"/>
        </w:rPr>
        <w:t>五、其他要求</w:t>
      </w:r>
    </w:p>
    <w:p w14:paraId="3DD30ED5">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1.每季度提供各系统各账号使用情况分析报告1份；</w:t>
      </w:r>
    </w:p>
    <w:p w14:paraId="72D6D743">
      <w:pPr>
        <w:widowControl/>
        <w:spacing w:line="360" w:lineRule="auto"/>
        <w:ind w:firstLine="420"/>
        <w:rPr>
          <w:rFonts w:ascii="宋体" w:hAnsi="宋体" w:eastAsia="宋体" w:cs="宋体"/>
          <w:bCs/>
          <w:color w:val="auto"/>
          <w:szCs w:val="21"/>
        </w:rPr>
      </w:pPr>
      <w:r>
        <w:rPr>
          <w:rFonts w:hint="eastAsia" w:ascii="宋体" w:hAnsi="宋体" w:eastAsia="宋体" w:cs="宋体"/>
          <w:bCs/>
          <w:color w:val="auto"/>
          <w:szCs w:val="21"/>
        </w:rPr>
        <w:t>2.服务期内盐城地区各级公安机关追加购买账号单价不高于本项目成交单价。</w:t>
      </w:r>
      <w:r>
        <w:rPr>
          <w:rFonts w:hint="eastAsia" w:ascii="宋体" w:hAnsi="宋体" w:eastAsia="宋体" w:cs="宋体"/>
          <w:bCs/>
          <w:color w:val="auto"/>
          <w:szCs w:val="21"/>
        </w:rPr>
        <w:br w:type="page" w:clear="all"/>
      </w:r>
    </w:p>
    <w:p w14:paraId="73DCB9FF">
      <w:pPr>
        <w:widowControl/>
        <w:spacing w:line="360" w:lineRule="auto"/>
        <w:jc w:val="center"/>
        <w:rPr>
          <w:rFonts w:ascii="宋体" w:hAnsi="宋体" w:eastAsia="宋体" w:cs="宋体"/>
          <w:b/>
          <w:color w:val="auto"/>
          <w:szCs w:val="21"/>
        </w:rPr>
      </w:pPr>
      <w:r>
        <w:rPr>
          <w:rFonts w:hint="eastAsia" w:ascii="宋体" w:hAnsi="宋体" w:eastAsia="宋体" w:cs="宋体"/>
          <w:b/>
          <w:color w:val="auto"/>
          <w:szCs w:val="21"/>
          <w:lang w:val="zh-TW"/>
        </w:rPr>
        <w:t>采购</w:t>
      </w:r>
      <w:r>
        <w:rPr>
          <w:rFonts w:hint="eastAsia" w:ascii="宋体" w:hAnsi="宋体" w:eastAsia="宋体" w:cs="宋体"/>
          <w:b/>
          <w:color w:val="auto"/>
          <w:szCs w:val="21"/>
        </w:rPr>
        <w:t>2包：智能研判平台服务</w:t>
      </w:r>
    </w:p>
    <w:p w14:paraId="3F48698C">
      <w:pPr>
        <w:widowControl/>
        <w:spacing w:line="360" w:lineRule="auto"/>
        <w:ind w:firstLine="420"/>
        <w:jc w:val="left"/>
        <w:rPr>
          <w:rFonts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智能研判系统服务能够实现相关人员设备YY信息、WiFi信息、IP信息等数据资源的整合和分析，能够根据群体特征的不断变化构建知识图谱、场景化标签，同时具有设备全息画像查询、智能研判、情报分析和人群布控功能。通过对多源数据统一建模、数据实时/批量计算、机器学习等技术手段实现设备DW、线索挖掘、情报拓展、设备/区域布控等多方面能力。</w:t>
      </w:r>
    </w:p>
    <w:p w14:paraId="24E844D9">
      <w:pPr>
        <w:pStyle w:val="199"/>
        <w:widowControl/>
        <w:numPr>
          <w:ilvl w:val="0"/>
          <w:numId w:val="4"/>
        </w:numPr>
        <w:spacing w:line="360" w:lineRule="auto"/>
        <w:ind w:firstLine="422"/>
        <w:jc w:val="left"/>
        <w:rPr>
          <w:rFonts w:ascii="宋体" w:hAnsi="宋体" w:cs="宋体"/>
          <w:b/>
          <w:color w:val="auto"/>
          <w:szCs w:val="21"/>
        </w:rPr>
      </w:pPr>
      <w:r>
        <w:rPr>
          <w:rFonts w:hint="eastAsia" w:ascii="宋体" w:hAnsi="宋体" w:cs="宋体"/>
          <w:b/>
          <w:color w:val="auto"/>
          <w:szCs w:val="21"/>
        </w:rPr>
        <w:t>功能参数要求</w:t>
      </w:r>
    </w:p>
    <w:p w14:paraId="5ED8401B">
      <w:pPr>
        <w:pStyle w:val="199"/>
        <w:widowControl/>
        <w:spacing w:line="360" w:lineRule="auto"/>
        <w:jc w:val="left"/>
        <w:rPr>
          <w:rFonts w:ascii="宋体" w:hAnsi="宋体" w:cs="宋体"/>
          <w:b/>
          <w:color w:val="auto"/>
          <w:szCs w:val="21"/>
        </w:rPr>
      </w:pPr>
      <w:r>
        <w:rPr>
          <w:rFonts w:hint="eastAsia" w:ascii="宋体" w:hAnsi="宋体" w:cs="宋体"/>
          <w:color w:val="auto"/>
          <w:szCs w:val="21"/>
          <w:shd w:val="clear" w:color="auto" w:fill="FFFFFF"/>
        </w:rPr>
        <w:t>如有需要具体功能详细说明，请与采购联系人联系</w:t>
      </w:r>
    </w:p>
    <w:p w14:paraId="78C703F2">
      <w:pPr>
        <w:pStyle w:val="199"/>
        <w:widowControl/>
        <w:spacing w:line="360" w:lineRule="auto"/>
        <w:jc w:val="left"/>
        <w:rPr>
          <w:rFonts w:ascii="宋体" w:hAnsi="宋体" w:cs="宋体"/>
          <w:color w:val="auto"/>
          <w:szCs w:val="21"/>
          <w:shd w:val="clear" w:color="auto" w:fill="FFFFFF"/>
        </w:rPr>
      </w:pPr>
      <w:r>
        <w:rPr>
          <w:rFonts w:hint="eastAsia" w:ascii="宋体" w:hAnsi="宋体" w:cs="宋体"/>
          <w:color w:val="auto"/>
          <w:szCs w:val="21"/>
          <w:shd w:val="clear" w:color="auto" w:fill="FFFFFF"/>
        </w:rPr>
        <w:t>1.提供类似开普勒系统功能的智能研判平台账号2个，数据接口1项，服务期1年。</w:t>
      </w:r>
    </w:p>
    <w:tbl>
      <w:tblPr>
        <w:tblStyle w:val="35"/>
        <w:tblW w:w="93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1"/>
        <w:gridCol w:w="4284"/>
        <w:gridCol w:w="2806"/>
      </w:tblGrid>
      <w:tr w14:paraId="18B09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noWrap/>
            <w:vAlign w:val="center"/>
          </w:tcPr>
          <w:p w14:paraId="3A47420C">
            <w:pPr>
              <w:widowControl/>
              <w:jc w:val="center"/>
              <w:rPr>
                <w:rFonts w:ascii="宋体" w:hAnsi="宋体" w:eastAsia="宋体" w:cs="宋体"/>
                <w:b/>
                <w:bCs/>
                <w:color w:val="auto"/>
                <w:szCs w:val="21"/>
              </w:rPr>
            </w:pPr>
            <w:r>
              <w:rPr>
                <w:rFonts w:hint="eastAsia" w:ascii="宋体" w:hAnsi="宋体" w:eastAsia="宋体" w:cs="宋体"/>
                <w:b/>
                <w:bCs/>
                <w:color w:val="auto"/>
                <w:szCs w:val="21"/>
              </w:rPr>
              <w:t>项目名称</w:t>
            </w:r>
          </w:p>
        </w:tc>
        <w:tc>
          <w:tcPr>
            <w:tcW w:w="4284" w:type="dxa"/>
            <w:noWrap/>
            <w:vAlign w:val="center"/>
          </w:tcPr>
          <w:p w14:paraId="10590C75">
            <w:pPr>
              <w:widowControl/>
              <w:jc w:val="center"/>
              <w:rPr>
                <w:rFonts w:ascii="宋体" w:hAnsi="宋体" w:eastAsia="宋体" w:cs="宋体"/>
                <w:b/>
                <w:bCs/>
                <w:color w:val="auto"/>
                <w:szCs w:val="21"/>
              </w:rPr>
            </w:pPr>
            <w:r>
              <w:rPr>
                <w:rFonts w:hint="eastAsia" w:ascii="宋体" w:hAnsi="宋体" w:eastAsia="宋体" w:cs="宋体"/>
                <w:b/>
                <w:bCs/>
                <w:color w:val="auto"/>
                <w:szCs w:val="21"/>
              </w:rPr>
              <w:t>采购功能</w:t>
            </w:r>
          </w:p>
        </w:tc>
        <w:tc>
          <w:tcPr>
            <w:tcW w:w="2806" w:type="dxa"/>
            <w:noWrap/>
          </w:tcPr>
          <w:p w14:paraId="0A2442CE">
            <w:pPr>
              <w:widowControl/>
              <w:ind w:left="211" w:hanging="211"/>
              <w:jc w:val="center"/>
              <w:rPr>
                <w:rFonts w:ascii="宋体" w:hAnsi="宋体" w:eastAsia="宋体" w:cs="宋体"/>
                <w:b/>
                <w:bCs/>
                <w:color w:val="auto"/>
                <w:szCs w:val="21"/>
              </w:rPr>
            </w:pPr>
            <w:r>
              <w:rPr>
                <w:rFonts w:hint="eastAsia" w:ascii="宋体" w:hAnsi="宋体" w:eastAsia="宋体" w:cs="宋体"/>
                <w:b/>
                <w:bCs/>
                <w:color w:val="auto"/>
                <w:szCs w:val="21"/>
              </w:rPr>
              <w:t>共2个账号</w:t>
            </w:r>
          </w:p>
          <w:p w14:paraId="3DCACA66">
            <w:pPr>
              <w:widowControl/>
              <w:ind w:left="211" w:hanging="211"/>
              <w:jc w:val="center"/>
              <w:rPr>
                <w:rFonts w:ascii="宋体" w:hAnsi="宋体" w:eastAsia="宋体" w:cs="宋体"/>
                <w:b/>
                <w:bCs/>
                <w:color w:val="auto"/>
                <w:szCs w:val="21"/>
              </w:rPr>
            </w:pPr>
            <w:r>
              <w:rPr>
                <w:rFonts w:hint="eastAsia" w:ascii="宋体" w:hAnsi="宋体" w:eastAsia="宋体" w:cs="宋体"/>
                <w:b/>
                <w:bCs/>
                <w:color w:val="auto"/>
                <w:szCs w:val="21"/>
              </w:rPr>
              <w:t>每账号每年最大使用次数</w:t>
            </w:r>
          </w:p>
        </w:tc>
      </w:tr>
      <w:tr w14:paraId="5C61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restart"/>
            <w:noWrap/>
            <w:vAlign w:val="center"/>
          </w:tcPr>
          <w:p w14:paraId="12385522">
            <w:pPr>
              <w:widowControl/>
              <w:jc w:val="center"/>
              <w:rPr>
                <w:rFonts w:ascii="宋体" w:hAnsi="宋体" w:eastAsia="宋体" w:cs="宋体"/>
                <w:color w:val="auto"/>
                <w:szCs w:val="21"/>
              </w:rPr>
            </w:pPr>
            <w:r>
              <w:rPr>
                <w:rFonts w:hint="eastAsia" w:ascii="宋体" w:hAnsi="宋体" w:eastAsia="宋体" w:cs="宋体"/>
                <w:color w:val="auto"/>
                <w:szCs w:val="21"/>
              </w:rPr>
              <w:t>全息查询</w:t>
            </w:r>
          </w:p>
        </w:tc>
        <w:tc>
          <w:tcPr>
            <w:tcW w:w="4284" w:type="dxa"/>
            <w:noWrap/>
            <w:vAlign w:val="center"/>
          </w:tcPr>
          <w:p w14:paraId="2D7D4B36">
            <w:pPr>
              <w:widowControl/>
              <w:jc w:val="center"/>
              <w:rPr>
                <w:rFonts w:ascii="宋体" w:hAnsi="宋体" w:eastAsia="宋体" w:cs="宋体"/>
                <w:color w:val="auto"/>
                <w:szCs w:val="21"/>
              </w:rPr>
            </w:pPr>
            <w:r>
              <w:rPr>
                <w:rFonts w:hint="eastAsia" w:ascii="宋体" w:hAnsi="宋体" w:eastAsia="宋体" w:cs="宋体"/>
                <w:color w:val="auto"/>
                <w:szCs w:val="21"/>
              </w:rPr>
              <w:t>设备查询-设备信息</w:t>
            </w:r>
          </w:p>
        </w:tc>
        <w:tc>
          <w:tcPr>
            <w:tcW w:w="2806" w:type="dxa"/>
            <w:noWrap/>
            <w:vAlign w:val="center"/>
          </w:tcPr>
          <w:p w14:paraId="2164B62F">
            <w:pPr>
              <w:widowControl/>
              <w:jc w:val="center"/>
              <w:rPr>
                <w:rFonts w:ascii="宋体" w:hAnsi="宋体" w:eastAsia="宋体" w:cs="宋体"/>
                <w:color w:val="auto"/>
                <w:szCs w:val="21"/>
              </w:rPr>
            </w:pPr>
            <w:r>
              <w:rPr>
                <w:rFonts w:hint="eastAsia" w:ascii="宋体" w:hAnsi="宋体" w:eastAsia="宋体" w:cs="宋体"/>
                <w:color w:val="auto"/>
                <w:szCs w:val="21"/>
              </w:rPr>
              <w:t>15000</w:t>
            </w:r>
          </w:p>
        </w:tc>
      </w:tr>
      <w:tr w14:paraId="387A0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46C31238">
            <w:pPr>
              <w:widowControl/>
              <w:jc w:val="center"/>
              <w:rPr>
                <w:rFonts w:ascii="宋体" w:hAnsi="宋体" w:eastAsia="宋体" w:cs="宋体"/>
                <w:color w:val="auto"/>
                <w:szCs w:val="21"/>
              </w:rPr>
            </w:pPr>
          </w:p>
        </w:tc>
        <w:tc>
          <w:tcPr>
            <w:tcW w:w="4284" w:type="dxa"/>
            <w:noWrap/>
            <w:vAlign w:val="center"/>
          </w:tcPr>
          <w:p w14:paraId="33F05257">
            <w:pPr>
              <w:widowControl/>
              <w:jc w:val="center"/>
              <w:rPr>
                <w:rFonts w:ascii="宋体" w:hAnsi="宋体" w:eastAsia="宋体" w:cs="宋体"/>
                <w:color w:val="auto"/>
                <w:szCs w:val="21"/>
              </w:rPr>
            </w:pPr>
            <w:r>
              <w:rPr>
                <w:rFonts w:hint="eastAsia" w:ascii="宋体" w:hAnsi="宋体" w:eastAsia="宋体" w:cs="宋体"/>
                <w:color w:val="auto"/>
                <w:szCs w:val="21"/>
              </w:rPr>
              <w:t>设备查询-设备特征</w:t>
            </w:r>
          </w:p>
        </w:tc>
        <w:tc>
          <w:tcPr>
            <w:tcW w:w="2806" w:type="dxa"/>
            <w:noWrap/>
            <w:vAlign w:val="center"/>
          </w:tcPr>
          <w:p w14:paraId="43BF3F9E">
            <w:pPr>
              <w:widowControl/>
              <w:jc w:val="center"/>
              <w:rPr>
                <w:rFonts w:ascii="宋体" w:hAnsi="宋体" w:eastAsia="宋体" w:cs="宋体"/>
                <w:color w:val="auto"/>
                <w:szCs w:val="21"/>
              </w:rPr>
            </w:pPr>
            <w:r>
              <w:rPr>
                <w:rFonts w:hint="eastAsia" w:ascii="宋体" w:hAnsi="宋体" w:eastAsia="宋体" w:cs="宋体"/>
                <w:color w:val="auto"/>
                <w:szCs w:val="21"/>
              </w:rPr>
              <w:t>15000</w:t>
            </w:r>
          </w:p>
        </w:tc>
      </w:tr>
      <w:tr w14:paraId="42CF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276B178E">
            <w:pPr>
              <w:widowControl/>
              <w:jc w:val="center"/>
              <w:rPr>
                <w:rFonts w:ascii="宋体" w:hAnsi="宋体" w:eastAsia="宋体" w:cs="宋体"/>
                <w:color w:val="auto"/>
                <w:szCs w:val="21"/>
              </w:rPr>
            </w:pPr>
          </w:p>
        </w:tc>
        <w:tc>
          <w:tcPr>
            <w:tcW w:w="4284" w:type="dxa"/>
            <w:noWrap/>
            <w:vAlign w:val="center"/>
          </w:tcPr>
          <w:p w14:paraId="008371B2">
            <w:pPr>
              <w:widowControl/>
              <w:jc w:val="center"/>
              <w:rPr>
                <w:rFonts w:ascii="宋体" w:hAnsi="宋体" w:eastAsia="宋体" w:cs="宋体"/>
                <w:color w:val="auto"/>
                <w:szCs w:val="21"/>
              </w:rPr>
            </w:pPr>
            <w:r>
              <w:rPr>
                <w:rFonts w:hint="eastAsia" w:ascii="宋体" w:hAnsi="宋体" w:eastAsia="宋体" w:cs="宋体"/>
                <w:color w:val="auto"/>
                <w:szCs w:val="21"/>
              </w:rPr>
              <w:t>设备查询-批量全息画像</w:t>
            </w:r>
          </w:p>
        </w:tc>
        <w:tc>
          <w:tcPr>
            <w:tcW w:w="2806" w:type="dxa"/>
            <w:noWrap/>
            <w:vAlign w:val="center"/>
          </w:tcPr>
          <w:p w14:paraId="421DC766">
            <w:pPr>
              <w:widowControl/>
              <w:jc w:val="center"/>
              <w:rPr>
                <w:rFonts w:ascii="宋体" w:hAnsi="宋体" w:eastAsia="宋体" w:cs="宋体"/>
                <w:color w:val="auto"/>
                <w:szCs w:val="21"/>
              </w:rPr>
            </w:pPr>
            <w:r>
              <w:rPr>
                <w:rFonts w:hint="eastAsia" w:ascii="宋体" w:hAnsi="宋体" w:eastAsia="宋体" w:cs="宋体"/>
                <w:color w:val="auto"/>
                <w:szCs w:val="21"/>
              </w:rPr>
              <w:t>15000</w:t>
            </w:r>
          </w:p>
        </w:tc>
      </w:tr>
      <w:tr w14:paraId="4A152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6D26A237">
            <w:pPr>
              <w:widowControl/>
              <w:jc w:val="center"/>
              <w:rPr>
                <w:rFonts w:ascii="宋体" w:hAnsi="宋体" w:eastAsia="宋体" w:cs="宋体"/>
                <w:color w:val="auto"/>
                <w:szCs w:val="21"/>
              </w:rPr>
            </w:pPr>
          </w:p>
        </w:tc>
        <w:tc>
          <w:tcPr>
            <w:tcW w:w="4284" w:type="dxa"/>
            <w:noWrap/>
            <w:vAlign w:val="center"/>
          </w:tcPr>
          <w:p w14:paraId="5851552A">
            <w:pPr>
              <w:widowControl/>
              <w:jc w:val="center"/>
              <w:rPr>
                <w:rFonts w:ascii="宋体" w:hAnsi="宋体" w:eastAsia="宋体" w:cs="宋体"/>
                <w:color w:val="auto"/>
                <w:szCs w:val="21"/>
              </w:rPr>
            </w:pPr>
            <w:r>
              <w:rPr>
                <w:rFonts w:hint="eastAsia" w:ascii="宋体" w:hAnsi="宋体" w:eastAsia="宋体" w:cs="宋体"/>
                <w:color w:val="auto"/>
                <w:szCs w:val="21"/>
              </w:rPr>
              <w:t>设备查询-历史WIFI/IP</w:t>
            </w:r>
          </w:p>
        </w:tc>
        <w:tc>
          <w:tcPr>
            <w:tcW w:w="2806" w:type="dxa"/>
            <w:noWrap/>
            <w:vAlign w:val="center"/>
          </w:tcPr>
          <w:p w14:paraId="5F4E6F62">
            <w:pPr>
              <w:widowControl/>
              <w:jc w:val="center"/>
              <w:rPr>
                <w:rFonts w:ascii="宋体" w:hAnsi="宋体" w:eastAsia="宋体" w:cs="宋体"/>
                <w:color w:val="auto"/>
                <w:szCs w:val="21"/>
              </w:rPr>
            </w:pPr>
            <w:r>
              <w:rPr>
                <w:rFonts w:hint="eastAsia" w:ascii="宋体" w:hAnsi="宋体" w:eastAsia="宋体" w:cs="宋体"/>
                <w:color w:val="auto"/>
                <w:szCs w:val="21"/>
              </w:rPr>
              <w:t>15000</w:t>
            </w:r>
          </w:p>
        </w:tc>
      </w:tr>
      <w:tr w14:paraId="3E6AC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0705F280">
            <w:pPr>
              <w:widowControl/>
              <w:jc w:val="center"/>
              <w:rPr>
                <w:rFonts w:ascii="宋体" w:hAnsi="宋体" w:eastAsia="宋体" w:cs="宋体"/>
                <w:color w:val="auto"/>
                <w:szCs w:val="21"/>
              </w:rPr>
            </w:pPr>
          </w:p>
        </w:tc>
        <w:tc>
          <w:tcPr>
            <w:tcW w:w="4284" w:type="dxa"/>
            <w:noWrap/>
            <w:vAlign w:val="center"/>
          </w:tcPr>
          <w:p w14:paraId="37B0A0BD">
            <w:pPr>
              <w:widowControl/>
              <w:jc w:val="center"/>
              <w:rPr>
                <w:rFonts w:ascii="宋体" w:hAnsi="宋体" w:eastAsia="宋体" w:cs="宋体"/>
                <w:color w:val="auto"/>
                <w:szCs w:val="21"/>
              </w:rPr>
            </w:pPr>
            <w:r>
              <w:rPr>
                <w:rFonts w:hint="eastAsia" w:ascii="宋体" w:hAnsi="宋体" w:eastAsia="宋体" w:cs="宋体"/>
                <w:color w:val="auto"/>
                <w:szCs w:val="21"/>
              </w:rPr>
              <w:t>设备查询-GJ走势</w:t>
            </w:r>
          </w:p>
        </w:tc>
        <w:tc>
          <w:tcPr>
            <w:tcW w:w="2806" w:type="dxa"/>
            <w:noWrap/>
            <w:vAlign w:val="center"/>
          </w:tcPr>
          <w:p w14:paraId="2367DFBE">
            <w:pPr>
              <w:widowControl/>
              <w:jc w:val="center"/>
              <w:rPr>
                <w:rFonts w:ascii="宋体" w:hAnsi="宋体" w:eastAsia="宋体" w:cs="宋体"/>
                <w:color w:val="auto"/>
                <w:szCs w:val="21"/>
              </w:rPr>
            </w:pPr>
            <w:r>
              <w:rPr>
                <w:rFonts w:hint="eastAsia" w:ascii="宋体" w:hAnsi="宋体" w:eastAsia="宋体" w:cs="宋体"/>
                <w:color w:val="auto"/>
                <w:szCs w:val="21"/>
              </w:rPr>
              <w:t>15000</w:t>
            </w:r>
          </w:p>
        </w:tc>
      </w:tr>
      <w:tr w14:paraId="749CE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09ECBB14">
            <w:pPr>
              <w:widowControl/>
              <w:jc w:val="center"/>
              <w:rPr>
                <w:rFonts w:ascii="宋体" w:hAnsi="宋体" w:eastAsia="宋体" w:cs="宋体"/>
                <w:color w:val="auto"/>
                <w:szCs w:val="21"/>
              </w:rPr>
            </w:pPr>
          </w:p>
        </w:tc>
        <w:tc>
          <w:tcPr>
            <w:tcW w:w="4284" w:type="dxa"/>
            <w:noWrap/>
            <w:vAlign w:val="center"/>
          </w:tcPr>
          <w:p w14:paraId="6FB0D57C">
            <w:pPr>
              <w:widowControl/>
              <w:jc w:val="center"/>
              <w:rPr>
                <w:rFonts w:ascii="宋体" w:hAnsi="宋体" w:eastAsia="宋体" w:cs="宋体"/>
                <w:color w:val="auto"/>
                <w:szCs w:val="21"/>
              </w:rPr>
            </w:pPr>
            <w:r>
              <w:rPr>
                <w:rFonts w:hint="eastAsia" w:ascii="宋体" w:hAnsi="宋体" w:eastAsia="宋体" w:cs="宋体"/>
                <w:color w:val="auto"/>
                <w:szCs w:val="21"/>
              </w:rPr>
              <w:t>设备查询-APP特征</w:t>
            </w:r>
          </w:p>
        </w:tc>
        <w:tc>
          <w:tcPr>
            <w:tcW w:w="2806" w:type="dxa"/>
            <w:noWrap/>
            <w:vAlign w:val="center"/>
          </w:tcPr>
          <w:p w14:paraId="480C2B06">
            <w:pPr>
              <w:widowControl/>
              <w:jc w:val="center"/>
              <w:rPr>
                <w:rFonts w:ascii="宋体" w:hAnsi="宋体" w:eastAsia="宋体" w:cs="宋体"/>
                <w:color w:val="auto"/>
                <w:szCs w:val="21"/>
              </w:rPr>
            </w:pPr>
            <w:r>
              <w:rPr>
                <w:rFonts w:hint="eastAsia" w:ascii="宋体" w:hAnsi="宋体" w:eastAsia="宋体" w:cs="宋体"/>
                <w:color w:val="auto"/>
                <w:szCs w:val="21"/>
              </w:rPr>
              <w:t>15000</w:t>
            </w:r>
          </w:p>
        </w:tc>
      </w:tr>
      <w:tr w14:paraId="1B417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71371792">
            <w:pPr>
              <w:widowControl/>
              <w:jc w:val="center"/>
              <w:rPr>
                <w:rFonts w:ascii="宋体" w:hAnsi="宋体" w:eastAsia="宋体" w:cs="宋体"/>
                <w:color w:val="auto"/>
                <w:szCs w:val="21"/>
              </w:rPr>
            </w:pPr>
          </w:p>
        </w:tc>
        <w:tc>
          <w:tcPr>
            <w:tcW w:w="4284" w:type="dxa"/>
            <w:noWrap/>
            <w:vAlign w:val="center"/>
          </w:tcPr>
          <w:p w14:paraId="1EEFFD61">
            <w:pPr>
              <w:widowControl/>
              <w:jc w:val="center"/>
              <w:rPr>
                <w:rFonts w:ascii="宋体" w:hAnsi="宋体" w:eastAsia="宋体" w:cs="宋体"/>
                <w:color w:val="auto"/>
                <w:szCs w:val="21"/>
              </w:rPr>
            </w:pPr>
            <w:r>
              <w:rPr>
                <w:rFonts w:hint="eastAsia" w:ascii="宋体" w:hAnsi="宋体" w:eastAsia="宋体" w:cs="宋体"/>
                <w:color w:val="auto"/>
                <w:szCs w:val="21"/>
              </w:rPr>
              <w:t>设备查询-JN账号</w:t>
            </w:r>
          </w:p>
        </w:tc>
        <w:tc>
          <w:tcPr>
            <w:tcW w:w="2806" w:type="dxa"/>
            <w:noWrap/>
            <w:vAlign w:val="center"/>
          </w:tcPr>
          <w:p w14:paraId="0234BA62">
            <w:pPr>
              <w:widowControl/>
              <w:jc w:val="center"/>
              <w:rPr>
                <w:rFonts w:ascii="宋体" w:hAnsi="宋体" w:eastAsia="宋体" w:cs="宋体"/>
                <w:color w:val="auto"/>
                <w:szCs w:val="21"/>
              </w:rPr>
            </w:pPr>
            <w:r>
              <w:rPr>
                <w:rFonts w:hint="eastAsia" w:ascii="宋体" w:hAnsi="宋体" w:eastAsia="宋体" w:cs="宋体"/>
                <w:color w:val="auto"/>
                <w:szCs w:val="21"/>
              </w:rPr>
              <w:t>15000</w:t>
            </w:r>
          </w:p>
        </w:tc>
      </w:tr>
      <w:tr w14:paraId="1A5D7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2363759D">
            <w:pPr>
              <w:widowControl/>
              <w:jc w:val="center"/>
              <w:rPr>
                <w:rFonts w:ascii="宋体" w:hAnsi="宋体" w:eastAsia="宋体" w:cs="宋体"/>
                <w:color w:val="auto"/>
                <w:szCs w:val="21"/>
              </w:rPr>
            </w:pPr>
          </w:p>
        </w:tc>
        <w:tc>
          <w:tcPr>
            <w:tcW w:w="4284" w:type="dxa"/>
            <w:noWrap/>
            <w:vAlign w:val="center"/>
          </w:tcPr>
          <w:p w14:paraId="79828E97">
            <w:pPr>
              <w:widowControl/>
              <w:jc w:val="center"/>
              <w:rPr>
                <w:rFonts w:ascii="宋体" w:hAnsi="宋体" w:eastAsia="宋体" w:cs="宋体"/>
                <w:color w:val="auto"/>
                <w:szCs w:val="21"/>
              </w:rPr>
            </w:pPr>
            <w:r>
              <w:rPr>
                <w:rFonts w:hint="eastAsia" w:ascii="宋体" w:hAnsi="宋体" w:eastAsia="宋体" w:cs="宋体"/>
                <w:color w:val="auto"/>
                <w:szCs w:val="21"/>
              </w:rPr>
              <w:t>设备查询-JW账号</w:t>
            </w:r>
          </w:p>
        </w:tc>
        <w:tc>
          <w:tcPr>
            <w:tcW w:w="2806" w:type="dxa"/>
            <w:noWrap/>
            <w:vAlign w:val="center"/>
          </w:tcPr>
          <w:p w14:paraId="0229E5A6">
            <w:pPr>
              <w:widowControl/>
              <w:jc w:val="center"/>
              <w:rPr>
                <w:rFonts w:ascii="宋体" w:hAnsi="宋体" w:eastAsia="宋体" w:cs="宋体"/>
                <w:color w:val="auto"/>
                <w:szCs w:val="21"/>
              </w:rPr>
            </w:pPr>
            <w:r>
              <w:rPr>
                <w:rFonts w:hint="eastAsia" w:ascii="宋体" w:hAnsi="宋体" w:eastAsia="宋体" w:cs="宋体"/>
                <w:color w:val="auto"/>
                <w:szCs w:val="21"/>
              </w:rPr>
              <w:t>15000</w:t>
            </w:r>
          </w:p>
        </w:tc>
      </w:tr>
      <w:tr w14:paraId="270F8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1BC4D437">
            <w:pPr>
              <w:widowControl/>
              <w:jc w:val="center"/>
              <w:rPr>
                <w:rFonts w:ascii="宋体" w:hAnsi="宋体" w:eastAsia="宋体" w:cs="宋体"/>
                <w:color w:val="auto"/>
                <w:szCs w:val="21"/>
              </w:rPr>
            </w:pPr>
          </w:p>
        </w:tc>
        <w:tc>
          <w:tcPr>
            <w:tcW w:w="4284" w:type="dxa"/>
            <w:noWrap/>
            <w:vAlign w:val="center"/>
          </w:tcPr>
          <w:p w14:paraId="20243241">
            <w:pPr>
              <w:widowControl/>
              <w:jc w:val="center"/>
              <w:rPr>
                <w:rFonts w:ascii="宋体" w:hAnsi="宋体" w:eastAsia="宋体" w:cs="宋体"/>
                <w:color w:val="auto"/>
                <w:szCs w:val="21"/>
              </w:rPr>
            </w:pPr>
            <w:r>
              <w:rPr>
                <w:rFonts w:hint="eastAsia" w:ascii="宋体" w:hAnsi="宋体" w:eastAsia="宋体" w:cs="宋体"/>
                <w:color w:val="auto"/>
                <w:szCs w:val="21"/>
              </w:rPr>
              <w:t>设备查询-行为推测</w:t>
            </w:r>
          </w:p>
        </w:tc>
        <w:tc>
          <w:tcPr>
            <w:tcW w:w="2806" w:type="dxa"/>
            <w:noWrap/>
            <w:vAlign w:val="center"/>
          </w:tcPr>
          <w:p w14:paraId="4A3B2384">
            <w:pPr>
              <w:widowControl/>
              <w:jc w:val="center"/>
              <w:rPr>
                <w:rFonts w:ascii="宋体" w:hAnsi="宋体" w:eastAsia="宋体" w:cs="宋体"/>
                <w:color w:val="auto"/>
                <w:szCs w:val="21"/>
              </w:rPr>
            </w:pPr>
            <w:r>
              <w:rPr>
                <w:rFonts w:hint="eastAsia" w:ascii="宋体" w:hAnsi="宋体" w:eastAsia="宋体" w:cs="宋体"/>
                <w:color w:val="auto"/>
                <w:szCs w:val="21"/>
              </w:rPr>
              <w:t>15000</w:t>
            </w:r>
          </w:p>
        </w:tc>
      </w:tr>
      <w:tr w14:paraId="5C82B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4AD2A339">
            <w:pPr>
              <w:widowControl/>
              <w:jc w:val="center"/>
              <w:rPr>
                <w:rFonts w:ascii="宋体" w:hAnsi="宋体" w:eastAsia="宋体" w:cs="宋体"/>
                <w:color w:val="auto"/>
                <w:szCs w:val="21"/>
              </w:rPr>
            </w:pPr>
          </w:p>
        </w:tc>
        <w:tc>
          <w:tcPr>
            <w:tcW w:w="4284" w:type="dxa"/>
            <w:noWrap/>
            <w:vAlign w:val="center"/>
          </w:tcPr>
          <w:p w14:paraId="67E9DEBF">
            <w:pPr>
              <w:widowControl/>
              <w:jc w:val="center"/>
              <w:rPr>
                <w:rFonts w:ascii="宋体" w:hAnsi="宋体" w:eastAsia="宋体" w:cs="宋体"/>
                <w:color w:val="auto"/>
                <w:szCs w:val="21"/>
              </w:rPr>
            </w:pPr>
            <w:r>
              <w:rPr>
                <w:rFonts w:hint="eastAsia" w:ascii="宋体" w:hAnsi="宋体" w:eastAsia="宋体" w:cs="宋体"/>
                <w:color w:val="auto"/>
                <w:szCs w:val="21"/>
              </w:rPr>
              <w:t>WIFI查询</w:t>
            </w:r>
          </w:p>
        </w:tc>
        <w:tc>
          <w:tcPr>
            <w:tcW w:w="2806" w:type="dxa"/>
            <w:noWrap/>
            <w:vAlign w:val="center"/>
          </w:tcPr>
          <w:p w14:paraId="7AFA3530">
            <w:pPr>
              <w:widowControl/>
              <w:jc w:val="center"/>
              <w:rPr>
                <w:rFonts w:ascii="宋体" w:hAnsi="宋体" w:eastAsia="宋体" w:cs="宋体"/>
                <w:color w:val="auto"/>
                <w:szCs w:val="21"/>
              </w:rPr>
            </w:pPr>
            <w:r>
              <w:rPr>
                <w:rFonts w:hint="eastAsia" w:ascii="宋体" w:hAnsi="宋体" w:eastAsia="宋体" w:cs="宋体"/>
                <w:color w:val="auto"/>
                <w:szCs w:val="21"/>
              </w:rPr>
              <w:t>15000</w:t>
            </w:r>
          </w:p>
        </w:tc>
      </w:tr>
      <w:tr w14:paraId="0B405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34A101A5">
            <w:pPr>
              <w:widowControl/>
              <w:jc w:val="center"/>
              <w:rPr>
                <w:rFonts w:ascii="宋体" w:hAnsi="宋体" w:eastAsia="宋体" w:cs="宋体"/>
                <w:color w:val="auto"/>
                <w:szCs w:val="21"/>
              </w:rPr>
            </w:pPr>
          </w:p>
        </w:tc>
        <w:tc>
          <w:tcPr>
            <w:tcW w:w="4284" w:type="dxa"/>
            <w:noWrap/>
            <w:vAlign w:val="center"/>
          </w:tcPr>
          <w:p w14:paraId="01AFB1CA">
            <w:pPr>
              <w:widowControl/>
              <w:jc w:val="center"/>
              <w:rPr>
                <w:rFonts w:ascii="宋体" w:hAnsi="宋体" w:eastAsia="宋体" w:cs="宋体"/>
                <w:color w:val="auto"/>
                <w:szCs w:val="21"/>
              </w:rPr>
            </w:pPr>
            <w:r>
              <w:rPr>
                <w:rFonts w:hint="eastAsia" w:ascii="宋体" w:hAnsi="宋体" w:eastAsia="宋体" w:cs="宋体"/>
                <w:color w:val="auto"/>
                <w:szCs w:val="21"/>
              </w:rPr>
              <w:t>IP查询</w:t>
            </w:r>
          </w:p>
        </w:tc>
        <w:tc>
          <w:tcPr>
            <w:tcW w:w="2806" w:type="dxa"/>
            <w:noWrap/>
            <w:vAlign w:val="center"/>
          </w:tcPr>
          <w:p w14:paraId="209800A4">
            <w:pPr>
              <w:widowControl/>
              <w:jc w:val="center"/>
              <w:rPr>
                <w:rFonts w:ascii="宋体" w:hAnsi="宋体" w:eastAsia="宋体" w:cs="宋体"/>
                <w:color w:val="auto"/>
                <w:szCs w:val="21"/>
              </w:rPr>
            </w:pPr>
            <w:r>
              <w:rPr>
                <w:rFonts w:hint="eastAsia" w:ascii="宋体" w:hAnsi="宋体" w:eastAsia="宋体" w:cs="宋体"/>
                <w:color w:val="auto"/>
                <w:szCs w:val="21"/>
              </w:rPr>
              <w:t>15000</w:t>
            </w:r>
          </w:p>
        </w:tc>
      </w:tr>
      <w:tr w14:paraId="32FFF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477C9A40">
            <w:pPr>
              <w:widowControl/>
              <w:jc w:val="center"/>
              <w:rPr>
                <w:rFonts w:ascii="宋体" w:hAnsi="宋体" w:eastAsia="宋体" w:cs="宋体"/>
                <w:color w:val="auto"/>
                <w:szCs w:val="21"/>
              </w:rPr>
            </w:pPr>
          </w:p>
        </w:tc>
        <w:tc>
          <w:tcPr>
            <w:tcW w:w="4284" w:type="dxa"/>
            <w:noWrap/>
            <w:vAlign w:val="center"/>
          </w:tcPr>
          <w:p w14:paraId="273724F3">
            <w:pPr>
              <w:widowControl/>
              <w:jc w:val="center"/>
              <w:rPr>
                <w:rFonts w:ascii="宋体" w:hAnsi="宋体" w:eastAsia="宋体" w:cs="宋体"/>
                <w:color w:val="auto"/>
                <w:szCs w:val="21"/>
              </w:rPr>
            </w:pPr>
            <w:r>
              <w:rPr>
                <w:rFonts w:hint="eastAsia" w:ascii="宋体" w:hAnsi="宋体" w:eastAsia="宋体" w:cs="宋体"/>
                <w:color w:val="auto"/>
                <w:szCs w:val="21"/>
              </w:rPr>
              <w:t>APP查询</w:t>
            </w:r>
          </w:p>
        </w:tc>
        <w:tc>
          <w:tcPr>
            <w:tcW w:w="2806" w:type="dxa"/>
            <w:noWrap/>
            <w:vAlign w:val="center"/>
          </w:tcPr>
          <w:p w14:paraId="65CFC429">
            <w:pPr>
              <w:widowControl/>
              <w:jc w:val="center"/>
              <w:rPr>
                <w:rFonts w:ascii="宋体" w:hAnsi="宋体" w:eastAsia="宋体" w:cs="宋体"/>
                <w:color w:val="auto"/>
                <w:szCs w:val="21"/>
              </w:rPr>
            </w:pPr>
            <w:r>
              <w:rPr>
                <w:rFonts w:hint="eastAsia" w:ascii="宋体" w:hAnsi="宋体" w:eastAsia="宋体" w:cs="宋体"/>
                <w:color w:val="auto"/>
                <w:szCs w:val="21"/>
              </w:rPr>
              <w:t>不限次</w:t>
            </w:r>
          </w:p>
        </w:tc>
      </w:tr>
      <w:tr w14:paraId="0694B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0F41AF61">
            <w:pPr>
              <w:widowControl/>
              <w:jc w:val="center"/>
              <w:rPr>
                <w:rFonts w:ascii="宋体" w:hAnsi="宋体" w:eastAsia="宋体" w:cs="宋体"/>
                <w:color w:val="auto"/>
                <w:szCs w:val="21"/>
              </w:rPr>
            </w:pPr>
          </w:p>
        </w:tc>
        <w:tc>
          <w:tcPr>
            <w:tcW w:w="4284" w:type="dxa"/>
            <w:noWrap/>
            <w:vAlign w:val="center"/>
          </w:tcPr>
          <w:p w14:paraId="6A89BAF1">
            <w:pPr>
              <w:widowControl/>
              <w:jc w:val="center"/>
              <w:rPr>
                <w:rFonts w:ascii="宋体" w:hAnsi="宋体" w:eastAsia="宋体" w:cs="宋体"/>
                <w:color w:val="auto"/>
                <w:szCs w:val="21"/>
              </w:rPr>
            </w:pPr>
            <w:r>
              <w:rPr>
                <w:rFonts w:hint="eastAsia" w:ascii="宋体" w:hAnsi="宋体" w:eastAsia="宋体" w:cs="宋体"/>
                <w:color w:val="auto"/>
                <w:szCs w:val="21"/>
              </w:rPr>
              <w:t>JW度分析</w:t>
            </w:r>
          </w:p>
        </w:tc>
        <w:tc>
          <w:tcPr>
            <w:tcW w:w="2806" w:type="dxa"/>
            <w:noWrap/>
            <w:vAlign w:val="center"/>
          </w:tcPr>
          <w:p w14:paraId="2E9932E4">
            <w:pPr>
              <w:widowControl/>
              <w:jc w:val="center"/>
              <w:rPr>
                <w:rFonts w:ascii="宋体" w:hAnsi="宋体" w:eastAsia="宋体" w:cs="宋体"/>
                <w:color w:val="auto"/>
                <w:szCs w:val="21"/>
              </w:rPr>
            </w:pPr>
            <w:r>
              <w:rPr>
                <w:rFonts w:hint="eastAsia" w:ascii="宋体" w:hAnsi="宋体" w:eastAsia="宋体" w:cs="宋体"/>
                <w:color w:val="auto"/>
                <w:szCs w:val="21"/>
              </w:rPr>
              <w:t>3000</w:t>
            </w:r>
          </w:p>
        </w:tc>
      </w:tr>
      <w:tr w14:paraId="4E981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27242DDB">
            <w:pPr>
              <w:widowControl/>
              <w:jc w:val="center"/>
              <w:rPr>
                <w:rFonts w:ascii="宋体" w:hAnsi="宋体" w:eastAsia="宋体" w:cs="宋体"/>
                <w:color w:val="auto"/>
                <w:szCs w:val="21"/>
              </w:rPr>
            </w:pPr>
          </w:p>
        </w:tc>
        <w:tc>
          <w:tcPr>
            <w:tcW w:w="4284" w:type="dxa"/>
            <w:noWrap/>
            <w:vAlign w:val="center"/>
          </w:tcPr>
          <w:p w14:paraId="7FBA1FAF">
            <w:pPr>
              <w:widowControl/>
              <w:jc w:val="center"/>
              <w:rPr>
                <w:rFonts w:ascii="宋体" w:hAnsi="宋体" w:eastAsia="宋体" w:cs="宋体"/>
                <w:color w:val="auto"/>
                <w:szCs w:val="21"/>
              </w:rPr>
            </w:pPr>
            <w:r>
              <w:rPr>
                <w:rFonts w:hint="eastAsia" w:ascii="宋体" w:hAnsi="宋体" w:eastAsia="宋体" w:cs="宋体"/>
                <w:color w:val="auto"/>
                <w:szCs w:val="21"/>
              </w:rPr>
              <w:t>JZ查询</w:t>
            </w:r>
          </w:p>
        </w:tc>
        <w:tc>
          <w:tcPr>
            <w:tcW w:w="2806" w:type="dxa"/>
            <w:noWrap/>
            <w:vAlign w:val="center"/>
          </w:tcPr>
          <w:p w14:paraId="4B1CB581">
            <w:pPr>
              <w:widowControl/>
              <w:jc w:val="center"/>
              <w:rPr>
                <w:rFonts w:ascii="宋体" w:hAnsi="宋体" w:eastAsia="宋体" w:cs="宋体"/>
                <w:color w:val="auto"/>
                <w:szCs w:val="21"/>
              </w:rPr>
            </w:pPr>
            <w:r>
              <w:rPr>
                <w:rFonts w:hint="eastAsia" w:ascii="宋体" w:hAnsi="宋体" w:eastAsia="宋体" w:cs="宋体"/>
                <w:color w:val="auto"/>
                <w:szCs w:val="21"/>
              </w:rPr>
              <w:t>3000</w:t>
            </w:r>
          </w:p>
        </w:tc>
      </w:tr>
      <w:tr w14:paraId="3F576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restart"/>
            <w:noWrap/>
            <w:vAlign w:val="center"/>
          </w:tcPr>
          <w:p w14:paraId="0BC61B0C">
            <w:pPr>
              <w:widowControl/>
              <w:jc w:val="center"/>
              <w:rPr>
                <w:rFonts w:ascii="宋体" w:hAnsi="宋体" w:eastAsia="宋体" w:cs="宋体"/>
                <w:color w:val="auto"/>
                <w:szCs w:val="21"/>
              </w:rPr>
            </w:pPr>
            <w:r>
              <w:rPr>
                <w:rFonts w:hint="eastAsia" w:ascii="宋体" w:hAnsi="宋体" w:eastAsia="宋体" w:cs="宋体"/>
                <w:color w:val="auto"/>
                <w:szCs w:val="21"/>
              </w:rPr>
              <w:t>研判工具</w:t>
            </w:r>
          </w:p>
        </w:tc>
        <w:tc>
          <w:tcPr>
            <w:tcW w:w="4284" w:type="dxa"/>
            <w:noWrap/>
            <w:vAlign w:val="center"/>
          </w:tcPr>
          <w:p w14:paraId="40C1BC3A">
            <w:pPr>
              <w:widowControl/>
              <w:jc w:val="center"/>
              <w:rPr>
                <w:rFonts w:ascii="宋体" w:hAnsi="宋体" w:eastAsia="宋体" w:cs="宋体"/>
                <w:color w:val="auto"/>
                <w:szCs w:val="21"/>
              </w:rPr>
            </w:pPr>
            <w:r>
              <w:rPr>
                <w:rFonts w:hint="eastAsia" w:ascii="宋体" w:hAnsi="宋体" w:eastAsia="宋体" w:cs="宋体"/>
                <w:color w:val="auto"/>
                <w:szCs w:val="21"/>
              </w:rPr>
              <w:t>APP分析</w:t>
            </w:r>
          </w:p>
        </w:tc>
        <w:tc>
          <w:tcPr>
            <w:tcW w:w="2806" w:type="dxa"/>
            <w:noWrap/>
            <w:vAlign w:val="center"/>
          </w:tcPr>
          <w:p w14:paraId="2DF5DF55">
            <w:pPr>
              <w:widowControl/>
              <w:jc w:val="center"/>
              <w:rPr>
                <w:rFonts w:ascii="宋体" w:hAnsi="宋体" w:eastAsia="宋体" w:cs="宋体"/>
                <w:color w:val="auto"/>
                <w:szCs w:val="21"/>
              </w:rPr>
            </w:pPr>
            <w:r>
              <w:rPr>
                <w:rFonts w:hint="eastAsia" w:ascii="宋体" w:hAnsi="宋体" w:eastAsia="宋体" w:cs="宋体"/>
                <w:color w:val="auto"/>
                <w:szCs w:val="21"/>
              </w:rPr>
              <w:t>1500</w:t>
            </w:r>
          </w:p>
        </w:tc>
      </w:tr>
      <w:tr w14:paraId="54CE1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36271E7E">
            <w:pPr>
              <w:widowControl/>
              <w:jc w:val="center"/>
              <w:rPr>
                <w:rFonts w:ascii="宋体" w:hAnsi="宋体" w:eastAsia="宋体" w:cs="宋体"/>
                <w:color w:val="auto"/>
                <w:szCs w:val="21"/>
              </w:rPr>
            </w:pPr>
          </w:p>
        </w:tc>
        <w:tc>
          <w:tcPr>
            <w:tcW w:w="4284" w:type="dxa"/>
            <w:noWrap/>
            <w:vAlign w:val="center"/>
          </w:tcPr>
          <w:p w14:paraId="7A4A48D7">
            <w:pPr>
              <w:widowControl/>
              <w:jc w:val="center"/>
              <w:rPr>
                <w:rFonts w:ascii="宋体" w:hAnsi="宋体" w:eastAsia="宋体" w:cs="宋体"/>
                <w:color w:val="auto"/>
                <w:szCs w:val="21"/>
              </w:rPr>
            </w:pPr>
            <w:r>
              <w:rPr>
                <w:rFonts w:hint="eastAsia" w:ascii="宋体" w:hAnsi="宋体" w:eastAsia="宋体" w:cs="宋体"/>
                <w:color w:val="auto"/>
                <w:szCs w:val="21"/>
              </w:rPr>
              <w:t>APP同源拓展</w:t>
            </w:r>
          </w:p>
        </w:tc>
        <w:tc>
          <w:tcPr>
            <w:tcW w:w="2806" w:type="dxa"/>
            <w:noWrap/>
            <w:vAlign w:val="center"/>
          </w:tcPr>
          <w:p w14:paraId="58AE9420">
            <w:pPr>
              <w:widowControl/>
              <w:jc w:val="center"/>
              <w:rPr>
                <w:rFonts w:ascii="宋体" w:hAnsi="宋体" w:eastAsia="宋体" w:cs="宋体"/>
                <w:color w:val="auto"/>
                <w:szCs w:val="21"/>
              </w:rPr>
            </w:pPr>
            <w:r>
              <w:rPr>
                <w:rFonts w:hint="eastAsia" w:ascii="宋体" w:hAnsi="宋体" w:eastAsia="宋体" w:cs="宋体"/>
                <w:color w:val="auto"/>
                <w:szCs w:val="21"/>
              </w:rPr>
              <w:t>不限次</w:t>
            </w:r>
          </w:p>
        </w:tc>
      </w:tr>
      <w:tr w14:paraId="795F6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18B11BF1">
            <w:pPr>
              <w:widowControl/>
              <w:jc w:val="center"/>
              <w:rPr>
                <w:rFonts w:ascii="宋体" w:hAnsi="宋体" w:eastAsia="宋体" w:cs="宋体"/>
                <w:color w:val="auto"/>
                <w:szCs w:val="21"/>
              </w:rPr>
            </w:pPr>
          </w:p>
        </w:tc>
        <w:tc>
          <w:tcPr>
            <w:tcW w:w="4284" w:type="dxa"/>
            <w:noWrap/>
            <w:vAlign w:val="center"/>
          </w:tcPr>
          <w:p w14:paraId="37625AAA">
            <w:pPr>
              <w:widowControl/>
              <w:jc w:val="center"/>
              <w:rPr>
                <w:rFonts w:ascii="宋体" w:hAnsi="宋体" w:eastAsia="宋体" w:cs="宋体"/>
                <w:color w:val="auto"/>
                <w:szCs w:val="21"/>
              </w:rPr>
            </w:pPr>
            <w:r>
              <w:rPr>
                <w:rFonts w:hint="eastAsia" w:ascii="宋体" w:hAnsi="宋体" w:eastAsia="宋体" w:cs="宋体"/>
                <w:color w:val="auto"/>
                <w:szCs w:val="21"/>
              </w:rPr>
              <w:t>群体画像</w:t>
            </w:r>
          </w:p>
        </w:tc>
        <w:tc>
          <w:tcPr>
            <w:tcW w:w="2806" w:type="dxa"/>
            <w:noWrap/>
            <w:vAlign w:val="center"/>
          </w:tcPr>
          <w:p w14:paraId="5A45FFB3">
            <w:pPr>
              <w:widowControl/>
              <w:jc w:val="center"/>
              <w:rPr>
                <w:rFonts w:ascii="宋体" w:hAnsi="宋体" w:eastAsia="宋体" w:cs="宋体"/>
                <w:color w:val="auto"/>
                <w:szCs w:val="21"/>
              </w:rPr>
            </w:pPr>
            <w:r>
              <w:rPr>
                <w:rFonts w:hint="eastAsia" w:ascii="宋体" w:hAnsi="宋体" w:eastAsia="宋体" w:cs="宋体"/>
                <w:color w:val="auto"/>
                <w:szCs w:val="21"/>
              </w:rPr>
              <w:t>2500</w:t>
            </w:r>
          </w:p>
        </w:tc>
      </w:tr>
      <w:tr w14:paraId="1F178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40E45CC3">
            <w:pPr>
              <w:widowControl/>
              <w:jc w:val="center"/>
              <w:rPr>
                <w:rFonts w:ascii="宋体" w:hAnsi="宋体" w:eastAsia="宋体" w:cs="宋体"/>
                <w:color w:val="auto"/>
                <w:szCs w:val="21"/>
              </w:rPr>
            </w:pPr>
          </w:p>
        </w:tc>
        <w:tc>
          <w:tcPr>
            <w:tcW w:w="4284" w:type="dxa"/>
            <w:noWrap/>
            <w:vAlign w:val="center"/>
          </w:tcPr>
          <w:p w14:paraId="3D244700">
            <w:pPr>
              <w:widowControl/>
              <w:jc w:val="center"/>
              <w:rPr>
                <w:rFonts w:ascii="宋体" w:hAnsi="宋体" w:eastAsia="宋体" w:cs="宋体"/>
                <w:color w:val="auto"/>
                <w:szCs w:val="21"/>
              </w:rPr>
            </w:pPr>
            <w:r>
              <w:rPr>
                <w:rFonts w:hint="eastAsia" w:ascii="宋体" w:hAnsi="宋体" w:eastAsia="宋体" w:cs="宋体"/>
                <w:color w:val="auto"/>
                <w:szCs w:val="21"/>
              </w:rPr>
              <w:t>APK解析</w:t>
            </w:r>
          </w:p>
        </w:tc>
        <w:tc>
          <w:tcPr>
            <w:tcW w:w="2806" w:type="dxa"/>
            <w:noWrap/>
            <w:vAlign w:val="center"/>
          </w:tcPr>
          <w:p w14:paraId="4D0D298A">
            <w:pPr>
              <w:widowControl/>
              <w:jc w:val="center"/>
              <w:rPr>
                <w:rFonts w:ascii="宋体" w:hAnsi="宋体" w:eastAsia="宋体" w:cs="宋体"/>
                <w:color w:val="auto"/>
                <w:szCs w:val="21"/>
              </w:rPr>
            </w:pPr>
            <w:r>
              <w:rPr>
                <w:rFonts w:hint="eastAsia" w:ascii="宋体" w:hAnsi="宋体" w:eastAsia="宋体" w:cs="宋体"/>
                <w:color w:val="auto"/>
                <w:szCs w:val="21"/>
              </w:rPr>
              <w:t>不限次</w:t>
            </w:r>
          </w:p>
        </w:tc>
      </w:tr>
      <w:tr w14:paraId="6BC58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4663F3C3">
            <w:pPr>
              <w:widowControl/>
              <w:jc w:val="center"/>
              <w:rPr>
                <w:rFonts w:ascii="宋体" w:hAnsi="宋体" w:eastAsia="宋体" w:cs="宋体"/>
                <w:color w:val="auto"/>
                <w:szCs w:val="21"/>
              </w:rPr>
            </w:pPr>
          </w:p>
        </w:tc>
        <w:tc>
          <w:tcPr>
            <w:tcW w:w="4284" w:type="dxa"/>
            <w:noWrap/>
            <w:vAlign w:val="center"/>
          </w:tcPr>
          <w:p w14:paraId="4673E850">
            <w:pPr>
              <w:widowControl/>
              <w:jc w:val="center"/>
              <w:rPr>
                <w:rFonts w:ascii="宋体" w:hAnsi="宋体" w:eastAsia="宋体" w:cs="宋体"/>
                <w:color w:val="auto"/>
                <w:szCs w:val="21"/>
              </w:rPr>
            </w:pPr>
            <w:r>
              <w:rPr>
                <w:rFonts w:hint="eastAsia" w:ascii="宋体" w:hAnsi="宋体" w:eastAsia="宋体" w:cs="宋体"/>
                <w:color w:val="auto"/>
                <w:szCs w:val="21"/>
              </w:rPr>
              <w:t>零号设备分析</w:t>
            </w:r>
          </w:p>
        </w:tc>
        <w:tc>
          <w:tcPr>
            <w:tcW w:w="2806" w:type="dxa"/>
            <w:noWrap/>
            <w:vAlign w:val="center"/>
          </w:tcPr>
          <w:p w14:paraId="21FA2C77">
            <w:pPr>
              <w:widowControl/>
              <w:jc w:val="center"/>
              <w:rPr>
                <w:rFonts w:ascii="宋体" w:hAnsi="宋体" w:eastAsia="宋体" w:cs="宋体"/>
                <w:color w:val="auto"/>
                <w:szCs w:val="21"/>
              </w:rPr>
            </w:pPr>
            <w:r>
              <w:rPr>
                <w:rFonts w:hint="eastAsia" w:ascii="宋体" w:hAnsi="宋体" w:eastAsia="宋体" w:cs="宋体"/>
                <w:color w:val="auto"/>
                <w:szCs w:val="21"/>
              </w:rPr>
              <w:t>1500</w:t>
            </w:r>
          </w:p>
        </w:tc>
      </w:tr>
      <w:tr w14:paraId="25B55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73BEB725">
            <w:pPr>
              <w:widowControl/>
              <w:jc w:val="center"/>
              <w:rPr>
                <w:rFonts w:ascii="宋体" w:hAnsi="宋体" w:eastAsia="宋体" w:cs="宋体"/>
                <w:color w:val="auto"/>
                <w:szCs w:val="21"/>
              </w:rPr>
            </w:pPr>
          </w:p>
        </w:tc>
        <w:tc>
          <w:tcPr>
            <w:tcW w:w="4284" w:type="dxa"/>
            <w:noWrap/>
            <w:vAlign w:val="center"/>
          </w:tcPr>
          <w:p w14:paraId="0FF1F221">
            <w:pPr>
              <w:widowControl/>
              <w:jc w:val="center"/>
              <w:rPr>
                <w:rFonts w:ascii="宋体" w:hAnsi="宋体" w:eastAsia="宋体" w:cs="宋体"/>
                <w:color w:val="auto"/>
                <w:szCs w:val="21"/>
              </w:rPr>
            </w:pPr>
            <w:r>
              <w:rPr>
                <w:rFonts w:hint="eastAsia" w:ascii="宋体" w:hAnsi="宋体" w:eastAsia="宋体" w:cs="宋体"/>
                <w:color w:val="auto"/>
                <w:szCs w:val="21"/>
              </w:rPr>
              <w:t>聚集地分析</w:t>
            </w:r>
          </w:p>
        </w:tc>
        <w:tc>
          <w:tcPr>
            <w:tcW w:w="2806" w:type="dxa"/>
            <w:noWrap/>
            <w:vAlign w:val="center"/>
          </w:tcPr>
          <w:p w14:paraId="1493D32F">
            <w:pPr>
              <w:widowControl/>
              <w:jc w:val="center"/>
              <w:rPr>
                <w:rFonts w:ascii="宋体" w:hAnsi="宋体" w:eastAsia="宋体" w:cs="宋体"/>
                <w:color w:val="auto"/>
                <w:szCs w:val="21"/>
              </w:rPr>
            </w:pPr>
            <w:r>
              <w:rPr>
                <w:rFonts w:hint="eastAsia" w:ascii="宋体" w:hAnsi="宋体" w:eastAsia="宋体" w:cs="宋体"/>
                <w:color w:val="auto"/>
                <w:szCs w:val="21"/>
              </w:rPr>
              <w:t>150</w:t>
            </w:r>
          </w:p>
        </w:tc>
      </w:tr>
      <w:tr w14:paraId="61E19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1C3ED880">
            <w:pPr>
              <w:widowControl/>
              <w:jc w:val="center"/>
              <w:rPr>
                <w:rFonts w:ascii="宋体" w:hAnsi="宋体" w:eastAsia="宋体" w:cs="宋体"/>
                <w:color w:val="auto"/>
                <w:szCs w:val="21"/>
              </w:rPr>
            </w:pPr>
          </w:p>
        </w:tc>
        <w:tc>
          <w:tcPr>
            <w:tcW w:w="4284" w:type="dxa"/>
            <w:noWrap/>
            <w:vAlign w:val="center"/>
          </w:tcPr>
          <w:p w14:paraId="113D9B11">
            <w:pPr>
              <w:widowControl/>
              <w:jc w:val="center"/>
              <w:rPr>
                <w:rFonts w:ascii="宋体" w:hAnsi="宋体" w:eastAsia="宋体" w:cs="宋体"/>
                <w:color w:val="auto"/>
                <w:szCs w:val="21"/>
              </w:rPr>
            </w:pPr>
            <w:r>
              <w:rPr>
                <w:rFonts w:hint="eastAsia" w:ascii="宋体" w:hAnsi="宋体" w:eastAsia="宋体" w:cs="宋体"/>
                <w:color w:val="auto"/>
                <w:szCs w:val="21"/>
              </w:rPr>
              <w:t>WiFi碰撞</w:t>
            </w:r>
          </w:p>
        </w:tc>
        <w:tc>
          <w:tcPr>
            <w:tcW w:w="2806" w:type="dxa"/>
            <w:noWrap/>
            <w:vAlign w:val="center"/>
          </w:tcPr>
          <w:p w14:paraId="18461F10">
            <w:pPr>
              <w:widowControl/>
              <w:jc w:val="center"/>
              <w:rPr>
                <w:rFonts w:ascii="宋体" w:hAnsi="宋体" w:eastAsia="宋体" w:cs="宋体"/>
                <w:color w:val="auto"/>
                <w:szCs w:val="21"/>
              </w:rPr>
            </w:pPr>
            <w:r>
              <w:rPr>
                <w:rFonts w:hint="eastAsia" w:ascii="宋体" w:hAnsi="宋体" w:eastAsia="宋体" w:cs="宋体"/>
                <w:color w:val="auto"/>
                <w:szCs w:val="21"/>
              </w:rPr>
              <w:t>2500</w:t>
            </w:r>
          </w:p>
        </w:tc>
      </w:tr>
      <w:tr w14:paraId="3267B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7CFB26A4">
            <w:pPr>
              <w:widowControl/>
              <w:jc w:val="center"/>
              <w:rPr>
                <w:rFonts w:ascii="宋体" w:hAnsi="宋体" w:eastAsia="宋体" w:cs="宋体"/>
                <w:color w:val="auto"/>
                <w:szCs w:val="21"/>
              </w:rPr>
            </w:pPr>
          </w:p>
        </w:tc>
        <w:tc>
          <w:tcPr>
            <w:tcW w:w="4284" w:type="dxa"/>
            <w:noWrap/>
            <w:vAlign w:val="center"/>
          </w:tcPr>
          <w:p w14:paraId="793D71DA">
            <w:pPr>
              <w:widowControl/>
              <w:jc w:val="center"/>
              <w:rPr>
                <w:rFonts w:ascii="宋体" w:hAnsi="宋体" w:eastAsia="宋体" w:cs="宋体"/>
                <w:color w:val="auto"/>
                <w:szCs w:val="21"/>
              </w:rPr>
            </w:pPr>
            <w:r>
              <w:rPr>
                <w:rFonts w:hint="eastAsia" w:ascii="宋体" w:hAnsi="宋体" w:eastAsia="宋体" w:cs="宋体"/>
                <w:color w:val="auto"/>
                <w:szCs w:val="21"/>
              </w:rPr>
              <w:t>IP碰撞</w:t>
            </w:r>
          </w:p>
        </w:tc>
        <w:tc>
          <w:tcPr>
            <w:tcW w:w="2806" w:type="dxa"/>
            <w:noWrap/>
            <w:vAlign w:val="center"/>
          </w:tcPr>
          <w:p w14:paraId="748D869A">
            <w:pPr>
              <w:widowControl/>
              <w:jc w:val="center"/>
              <w:rPr>
                <w:rFonts w:ascii="宋体" w:hAnsi="宋体" w:eastAsia="宋体" w:cs="宋体"/>
                <w:color w:val="auto"/>
                <w:szCs w:val="21"/>
              </w:rPr>
            </w:pPr>
            <w:r>
              <w:rPr>
                <w:rFonts w:hint="eastAsia" w:ascii="宋体" w:hAnsi="宋体" w:eastAsia="宋体" w:cs="宋体"/>
                <w:color w:val="auto"/>
                <w:szCs w:val="21"/>
              </w:rPr>
              <w:t>2500</w:t>
            </w:r>
          </w:p>
        </w:tc>
      </w:tr>
      <w:tr w14:paraId="63116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vMerge w:val="continue"/>
            <w:noWrap/>
            <w:vAlign w:val="center"/>
          </w:tcPr>
          <w:p w14:paraId="0016DCF3">
            <w:pPr>
              <w:widowControl/>
              <w:jc w:val="center"/>
              <w:rPr>
                <w:rFonts w:ascii="宋体" w:hAnsi="宋体" w:eastAsia="宋体" w:cs="宋体"/>
                <w:color w:val="auto"/>
                <w:szCs w:val="21"/>
              </w:rPr>
            </w:pPr>
          </w:p>
        </w:tc>
        <w:tc>
          <w:tcPr>
            <w:tcW w:w="4284" w:type="dxa"/>
            <w:noWrap/>
            <w:vAlign w:val="center"/>
          </w:tcPr>
          <w:p w14:paraId="06887E4D">
            <w:pPr>
              <w:widowControl/>
              <w:jc w:val="center"/>
              <w:rPr>
                <w:rFonts w:ascii="宋体" w:hAnsi="宋体" w:eastAsia="宋体" w:cs="宋体"/>
                <w:color w:val="auto"/>
                <w:szCs w:val="21"/>
              </w:rPr>
            </w:pPr>
            <w:r>
              <w:rPr>
                <w:rFonts w:hint="eastAsia" w:ascii="宋体" w:hAnsi="宋体" w:eastAsia="宋体" w:cs="宋体"/>
                <w:color w:val="auto"/>
                <w:szCs w:val="21"/>
              </w:rPr>
              <w:t>JW核查</w:t>
            </w:r>
          </w:p>
        </w:tc>
        <w:tc>
          <w:tcPr>
            <w:tcW w:w="2806" w:type="dxa"/>
            <w:noWrap/>
            <w:vAlign w:val="center"/>
          </w:tcPr>
          <w:p w14:paraId="71A1A4BB">
            <w:pPr>
              <w:widowControl/>
              <w:jc w:val="center"/>
              <w:rPr>
                <w:rFonts w:ascii="宋体" w:hAnsi="宋体" w:eastAsia="宋体" w:cs="宋体"/>
                <w:color w:val="auto"/>
                <w:szCs w:val="21"/>
              </w:rPr>
            </w:pPr>
            <w:r>
              <w:rPr>
                <w:rFonts w:hint="eastAsia" w:ascii="宋体" w:hAnsi="宋体" w:eastAsia="宋体" w:cs="宋体"/>
                <w:color w:val="auto"/>
                <w:szCs w:val="21"/>
              </w:rPr>
              <w:t>不限次</w:t>
            </w:r>
          </w:p>
        </w:tc>
      </w:tr>
      <w:tr w14:paraId="18C42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noWrap/>
            <w:vAlign w:val="center"/>
          </w:tcPr>
          <w:p w14:paraId="7BB3D86D">
            <w:pPr>
              <w:widowControl/>
              <w:jc w:val="center"/>
              <w:rPr>
                <w:rFonts w:ascii="宋体" w:hAnsi="宋体" w:eastAsia="宋体" w:cs="宋体"/>
                <w:color w:val="auto"/>
                <w:szCs w:val="21"/>
              </w:rPr>
            </w:pPr>
            <w:r>
              <w:rPr>
                <w:rFonts w:hint="eastAsia" w:ascii="宋体" w:hAnsi="宋体" w:eastAsia="宋体" w:cs="宋体"/>
                <w:color w:val="auto"/>
                <w:szCs w:val="21"/>
              </w:rPr>
              <w:t>高级工具</w:t>
            </w:r>
          </w:p>
        </w:tc>
        <w:tc>
          <w:tcPr>
            <w:tcW w:w="4284" w:type="dxa"/>
            <w:noWrap/>
            <w:vAlign w:val="center"/>
          </w:tcPr>
          <w:p w14:paraId="494EF454">
            <w:pPr>
              <w:widowControl/>
              <w:jc w:val="center"/>
              <w:rPr>
                <w:rFonts w:ascii="宋体" w:hAnsi="宋体" w:eastAsia="宋体" w:cs="宋体"/>
                <w:color w:val="auto"/>
                <w:szCs w:val="21"/>
              </w:rPr>
            </w:pPr>
            <w:r>
              <w:rPr>
                <w:rFonts w:hint="eastAsia" w:ascii="宋体" w:hAnsi="宋体" w:eastAsia="宋体" w:cs="宋体"/>
                <w:color w:val="auto"/>
                <w:szCs w:val="21"/>
              </w:rPr>
              <w:t>建模分析（QB研判）</w:t>
            </w:r>
          </w:p>
        </w:tc>
        <w:tc>
          <w:tcPr>
            <w:tcW w:w="2806" w:type="dxa"/>
            <w:noWrap/>
            <w:vAlign w:val="center"/>
          </w:tcPr>
          <w:p w14:paraId="7B28C638">
            <w:pPr>
              <w:widowControl/>
              <w:jc w:val="center"/>
              <w:rPr>
                <w:rFonts w:ascii="宋体" w:hAnsi="宋体" w:eastAsia="宋体" w:cs="宋体"/>
                <w:color w:val="auto"/>
                <w:szCs w:val="21"/>
              </w:rPr>
            </w:pPr>
            <w:r>
              <w:rPr>
                <w:rFonts w:hint="eastAsia" w:ascii="宋体" w:hAnsi="宋体" w:eastAsia="宋体" w:cs="宋体"/>
                <w:color w:val="auto"/>
                <w:szCs w:val="21"/>
              </w:rPr>
              <w:t>10</w:t>
            </w:r>
          </w:p>
        </w:tc>
      </w:tr>
      <w:tr w14:paraId="49E8E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91" w:type="dxa"/>
            <w:noWrap/>
            <w:vAlign w:val="center"/>
          </w:tcPr>
          <w:p w14:paraId="71D65B26">
            <w:pPr>
              <w:widowControl/>
              <w:jc w:val="center"/>
              <w:rPr>
                <w:rFonts w:ascii="宋体" w:hAnsi="宋体" w:eastAsia="宋体" w:cs="宋体"/>
                <w:color w:val="auto"/>
                <w:szCs w:val="21"/>
              </w:rPr>
            </w:pPr>
            <w:r>
              <w:rPr>
                <w:rFonts w:hint="eastAsia" w:ascii="宋体" w:hAnsi="宋体" w:eastAsia="宋体" w:cs="宋体"/>
                <w:color w:val="auto"/>
                <w:szCs w:val="21"/>
              </w:rPr>
              <w:t>服务支持</w:t>
            </w:r>
          </w:p>
        </w:tc>
        <w:tc>
          <w:tcPr>
            <w:tcW w:w="4284" w:type="dxa"/>
            <w:noWrap/>
            <w:vAlign w:val="center"/>
          </w:tcPr>
          <w:p w14:paraId="1372B1B9">
            <w:pPr>
              <w:widowControl/>
              <w:jc w:val="center"/>
              <w:rPr>
                <w:rFonts w:ascii="宋体" w:hAnsi="宋体" w:eastAsia="宋体" w:cs="宋体"/>
                <w:color w:val="auto"/>
                <w:szCs w:val="21"/>
              </w:rPr>
            </w:pPr>
            <w:r>
              <w:rPr>
                <w:rFonts w:hint="eastAsia" w:ascii="宋体" w:hAnsi="宋体" w:eastAsia="宋体" w:cs="宋体"/>
                <w:color w:val="auto"/>
                <w:szCs w:val="21"/>
              </w:rPr>
              <w:t>深度案件支撑</w:t>
            </w:r>
          </w:p>
        </w:tc>
        <w:tc>
          <w:tcPr>
            <w:tcW w:w="2806" w:type="dxa"/>
            <w:noWrap/>
            <w:vAlign w:val="center"/>
          </w:tcPr>
          <w:p w14:paraId="4826C606">
            <w:pPr>
              <w:widowControl/>
              <w:jc w:val="center"/>
              <w:rPr>
                <w:rFonts w:ascii="宋体" w:hAnsi="宋体" w:eastAsia="宋体" w:cs="宋体"/>
                <w:color w:val="auto"/>
                <w:szCs w:val="21"/>
              </w:rPr>
            </w:pPr>
            <w:r>
              <w:rPr>
                <w:rFonts w:hint="eastAsia" w:ascii="宋体" w:hAnsi="宋体" w:eastAsia="宋体" w:cs="宋体"/>
                <w:color w:val="auto"/>
                <w:szCs w:val="21"/>
              </w:rPr>
              <w:t>8</w:t>
            </w:r>
          </w:p>
        </w:tc>
      </w:tr>
    </w:tbl>
    <w:p w14:paraId="6BB3E29E">
      <w:pPr>
        <w:pStyle w:val="199"/>
        <w:numPr>
          <w:ilvl w:val="0"/>
          <w:numId w:val="5"/>
        </w:numPr>
        <w:spacing w:line="360" w:lineRule="auto"/>
        <w:ind w:firstLine="422"/>
        <w:jc w:val="left"/>
        <w:rPr>
          <w:rFonts w:ascii="宋体" w:hAnsi="宋体" w:cs="宋体"/>
          <w:b/>
          <w:color w:val="auto"/>
          <w:szCs w:val="21"/>
        </w:rPr>
      </w:pPr>
      <w:r>
        <w:rPr>
          <w:rFonts w:hint="eastAsia" w:ascii="宋体" w:hAnsi="宋体" w:cs="宋体"/>
          <w:b/>
          <w:color w:val="auto"/>
          <w:szCs w:val="21"/>
        </w:rPr>
        <w:t>数据接口</w:t>
      </w:r>
    </w:p>
    <w:p w14:paraId="714592AD">
      <w:pPr>
        <w:pStyle w:val="199"/>
        <w:spacing w:line="360" w:lineRule="auto"/>
        <w:ind w:firstLine="0"/>
        <w:jc w:val="left"/>
        <w:rPr>
          <w:rFonts w:ascii="宋体" w:hAnsi="宋体" w:cs="宋体"/>
          <w:b/>
          <w:color w:val="auto"/>
          <w:szCs w:val="21"/>
        </w:rPr>
      </w:pPr>
      <w:r>
        <w:rPr>
          <w:rFonts w:hint="eastAsia" w:ascii="宋体" w:hAnsi="宋体" w:cs="宋体"/>
          <w:b/>
          <w:color w:val="auto"/>
          <w:szCs w:val="21"/>
        </w:rPr>
        <w:t xml:space="preserve">   同步提供上述数据查询接口，包括：</w:t>
      </w:r>
    </w:p>
    <w:p w14:paraId="5F6B2517">
      <w:pPr>
        <w:tabs>
          <w:tab w:val="left" w:pos="666"/>
        </w:tabs>
        <w:spacing w:line="360" w:lineRule="auto"/>
        <w:ind w:firstLine="422"/>
        <w:jc w:val="left"/>
        <w:rPr>
          <w:rFonts w:ascii="宋体" w:hAnsi="宋体" w:eastAsia="宋体" w:cs="宋体"/>
          <w:b/>
          <w:color w:val="auto"/>
          <w:szCs w:val="21"/>
        </w:rPr>
      </w:pPr>
      <w:r>
        <w:rPr>
          <w:rFonts w:hint="eastAsia" w:ascii="宋体" w:hAnsi="宋体" w:eastAsia="宋体" w:cs="宋体"/>
          <w:b/>
          <w:color w:val="auto"/>
          <w:szCs w:val="21"/>
        </w:rPr>
        <w:t>（1）设备查询</w:t>
      </w:r>
    </w:p>
    <w:p w14:paraId="38C89B16">
      <w:pPr>
        <w:tabs>
          <w:tab w:val="left" w:pos="666"/>
        </w:tabs>
        <w:spacing w:line="360" w:lineRule="auto"/>
        <w:ind w:firstLine="422"/>
        <w:jc w:val="left"/>
        <w:rPr>
          <w:rFonts w:ascii="宋体" w:hAnsi="宋体" w:eastAsia="宋体" w:cs="宋体"/>
          <w:b/>
          <w:color w:val="auto"/>
          <w:szCs w:val="21"/>
        </w:rPr>
      </w:pPr>
      <w:r>
        <w:rPr>
          <w:rFonts w:hint="eastAsia" w:ascii="宋体" w:hAnsi="宋体" w:eastAsia="宋体" w:cs="宋体"/>
          <w:b/>
          <w:color w:val="auto"/>
          <w:szCs w:val="21"/>
        </w:rPr>
        <w:t>（2）wifi查询</w:t>
      </w:r>
    </w:p>
    <w:p w14:paraId="1E383C0B">
      <w:pPr>
        <w:tabs>
          <w:tab w:val="left" w:pos="666"/>
        </w:tabs>
        <w:spacing w:line="360" w:lineRule="auto"/>
        <w:ind w:firstLine="422"/>
        <w:jc w:val="left"/>
        <w:rPr>
          <w:rFonts w:ascii="宋体" w:hAnsi="宋体" w:eastAsia="宋体" w:cs="宋体"/>
          <w:b/>
          <w:color w:val="auto"/>
          <w:szCs w:val="21"/>
        </w:rPr>
      </w:pPr>
      <w:r>
        <w:rPr>
          <w:rFonts w:hint="eastAsia" w:ascii="宋体" w:hAnsi="宋体" w:eastAsia="宋体" w:cs="宋体"/>
          <w:b/>
          <w:color w:val="auto"/>
          <w:szCs w:val="21"/>
        </w:rPr>
        <w:t>（3）IP查询</w:t>
      </w:r>
    </w:p>
    <w:p w14:paraId="1CA631A7">
      <w:pPr>
        <w:tabs>
          <w:tab w:val="left" w:pos="666"/>
        </w:tabs>
        <w:spacing w:line="360" w:lineRule="auto"/>
        <w:ind w:firstLine="422"/>
        <w:jc w:val="left"/>
        <w:rPr>
          <w:rFonts w:ascii="宋体" w:hAnsi="宋体" w:eastAsia="宋体" w:cs="宋体"/>
          <w:b/>
          <w:color w:val="auto"/>
          <w:szCs w:val="21"/>
        </w:rPr>
      </w:pPr>
      <w:r>
        <w:rPr>
          <w:rFonts w:hint="eastAsia" w:ascii="宋体" w:hAnsi="宋体" w:eastAsia="宋体" w:cs="宋体"/>
          <w:b/>
          <w:color w:val="auto"/>
          <w:szCs w:val="21"/>
        </w:rPr>
        <w:t>（4）APP查询</w:t>
      </w:r>
    </w:p>
    <w:p w14:paraId="3BACB2FA">
      <w:pPr>
        <w:tabs>
          <w:tab w:val="left" w:pos="666"/>
        </w:tabs>
        <w:spacing w:line="360" w:lineRule="auto"/>
        <w:ind w:firstLine="422"/>
        <w:jc w:val="left"/>
        <w:rPr>
          <w:rFonts w:ascii="宋体" w:hAnsi="宋体" w:eastAsia="宋体" w:cs="宋体"/>
          <w:b/>
          <w:color w:val="auto"/>
          <w:szCs w:val="21"/>
        </w:rPr>
      </w:pPr>
      <w:r>
        <w:rPr>
          <w:rFonts w:hint="eastAsia" w:ascii="宋体" w:hAnsi="宋体" w:eastAsia="宋体" w:cs="宋体"/>
          <w:b/>
          <w:color w:val="auto"/>
          <w:szCs w:val="21"/>
        </w:rPr>
        <w:t>（5）JW度查询</w:t>
      </w:r>
    </w:p>
    <w:p w14:paraId="30695EA3">
      <w:pPr>
        <w:tabs>
          <w:tab w:val="left" w:pos="666"/>
        </w:tabs>
        <w:spacing w:line="360" w:lineRule="auto"/>
        <w:ind w:firstLine="422"/>
        <w:jc w:val="left"/>
        <w:rPr>
          <w:rFonts w:ascii="宋体" w:hAnsi="宋体" w:eastAsia="宋体" w:cs="宋体"/>
          <w:b/>
          <w:color w:val="auto"/>
          <w:szCs w:val="21"/>
        </w:rPr>
      </w:pPr>
      <w:r>
        <w:rPr>
          <w:rFonts w:hint="eastAsia" w:ascii="宋体" w:hAnsi="宋体" w:eastAsia="宋体" w:cs="宋体"/>
          <w:b/>
          <w:color w:val="auto"/>
          <w:szCs w:val="21"/>
        </w:rPr>
        <w:t>（6）JZ查询</w:t>
      </w:r>
    </w:p>
    <w:p w14:paraId="5E1260EE">
      <w:pPr>
        <w:tabs>
          <w:tab w:val="left" w:pos="666"/>
        </w:tabs>
        <w:spacing w:line="360" w:lineRule="auto"/>
        <w:ind w:firstLine="422"/>
        <w:jc w:val="left"/>
        <w:rPr>
          <w:rFonts w:ascii="宋体" w:hAnsi="宋体" w:eastAsia="宋体" w:cs="宋体"/>
          <w:b/>
          <w:color w:val="auto"/>
          <w:szCs w:val="21"/>
        </w:rPr>
      </w:pPr>
      <w:bookmarkStart w:id="185" w:name="_Toc2288"/>
      <w:bookmarkStart w:id="186" w:name="_Toc1859909504"/>
      <w:r>
        <w:rPr>
          <w:rFonts w:hint="eastAsia" w:ascii="宋体" w:hAnsi="宋体" w:eastAsia="宋体" w:cs="宋体"/>
          <w:b/>
          <w:color w:val="auto"/>
          <w:szCs w:val="21"/>
        </w:rPr>
        <w:t>（7）对接方式</w:t>
      </w:r>
      <w:bookmarkEnd w:id="185"/>
      <w:bookmarkEnd w:id="186"/>
    </w:p>
    <w:p w14:paraId="601378CD">
      <w:pPr>
        <w:spacing w:line="360" w:lineRule="auto"/>
        <w:ind w:firstLine="420"/>
        <w:jc w:val="left"/>
        <w:rPr>
          <w:rFonts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数据通过API接口进行查询。</w:t>
      </w:r>
    </w:p>
    <w:tbl>
      <w:tblPr>
        <w:tblStyle w:val="35"/>
        <w:tblW w:w="47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1947"/>
        <w:gridCol w:w="3482"/>
        <w:gridCol w:w="2077"/>
      </w:tblGrid>
      <w:tr w14:paraId="27499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48" w:type="pct"/>
            <w:noWrap/>
            <w:vAlign w:val="center"/>
          </w:tcPr>
          <w:p w14:paraId="12EA262D">
            <w:pPr>
              <w:widowControl/>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154" w:type="pct"/>
            <w:noWrap/>
            <w:vAlign w:val="center"/>
          </w:tcPr>
          <w:p w14:paraId="72E6318D">
            <w:pPr>
              <w:widowControl/>
              <w:jc w:val="center"/>
              <w:rPr>
                <w:rFonts w:ascii="宋体" w:hAnsi="宋体" w:eastAsia="宋体" w:cs="宋体"/>
                <w:b/>
                <w:bCs/>
                <w:color w:val="auto"/>
                <w:szCs w:val="21"/>
              </w:rPr>
            </w:pPr>
            <w:r>
              <w:rPr>
                <w:rFonts w:hint="eastAsia" w:ascii="宋体" w:hAnsi="宋体" w:eastAsia="宋体" w:cs="宋体"/>
                <w:b/>
                <w:bCs/>
                <w:color w:val="auto"/>
                <w:szCs w:val="21"/>
              </w:rPr>
              <w:t>接口类别</w:t>
            </w:r>
          </w:p>
        </w:tc>
        <w:tc>
          <w:tcPr>
            <w:tcW w:w="2064" w:type="pct"/>
            <w:noWrap/>
            <w:vAlign w:val="center"/>
          </w:tcPr>
          <w:p w14:paraId="7E0F3E45">
            <w:pPr>
              <w:widowControl/>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1231" w:type="pct"/>
            <w:noWrap/>
            <w:vAlign w:val="center"/>
          </w:tcPr>
          <w:p w14:paraId="042DA756">
            <w:pPr>
              <w:widowControl/>
              <w:jc w:val="center"/>
              <w:rPr>
                <w:rFonts w:ascii="宋体" w:hAnsi="宋体" w:eastAsia="宋体" w:cs="宋体"/>
                <w:b/>
                <w:bCs/>
                <w:color w:val="auto"/>
                <w:szCs w:val="21"/>
              </w:rPr>
            </w:pPr>
            <w:r>
              <w:rPr>
                <w:rFonts w:hint="eastAsia" w:ascii="宋体" w:hAnsi="宋体" w:eastAsia="宋体" w:cs="宋体"/>
                <w:b/>
                <w:bCs/>
                <w:color w:val="auto"/>
                <w:szCs w:val="21"/>
              </w:rPr>
              <w:t>最大查询服务次数</w:t>
            </w:r>
          </w:p>
        </w:tc>
      </w:tr>
      <w:tr w14:paraId="4B86F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noWrap/>
            <w:vAlign w:val="center"/>
          </w:tcPr>
          <w:p w14:paraId="7925F1AF">
            <w:pPr>
              <w:widowControl/>
              <w:numPr>
                <w:ilvl w:val="0"/>
                <w:numId w:val="6"/>
              </w:numPr>
              <w:jc w:val="center"/>
              <w:rPr>
                <w:rFonts w:ascii="宋体" w:hAnsi="宋体" w:eastAsia="宋体" w:cs="宋体"/>
                <w:color w:val="auto"/>
                <w:szCs w:val="21"/>
              </w:rPr>
            </w:pPr>
          </w:p>
        </w:tc>
        <w:tc>
          <w:tcPr>
            <w:tcW w:w="1154" w:type="pct"/>
            <w:vMerge w:val="restart"/>
            <w:noWrap/>
            <w:vAlign w:val="center"/>
          </w:tcPr>
          <w:p w14:paraId="1CFEAFA7">
            <w:pPr>
              <w:widowControl/>
              <w:jc w:val="center"/>
              <w:rPr>
                <w:rFonts w:ascii="宋体" w:hAnsi="宋体" w:eastAsia="宋体" w:cs="宋体"/>
                <w:color w:val="auto"/>
                <w:szCs w:val="21"/>
              </w:rPr>
            </w:pPr>
            <w:r>
              <w:rPr>
                <w:rFonts w:hint="eastAsia" w:ascii="宋体" w:hAnsi="宋体" w:eastAsia="宋体" w:cs="宋体"/>
                <w:color w:val="auto"/>
                <w:szCs w:val="21"/>
              </w:rPr>
              <w:t>设备查询接口</w:t>
            </w:r>
          </w:p>
        </w:tc>
        <w:tc>
          <w:tcPr>
            <w:tcW w:w="2064" w:type="pct"/>
            <w:noWrap/>
            <w:vAlign w:val="center"/>
          </w:tcPr>
          <w:p w14:paraId="3839EE31">
            <w:pPr>
              <w:widowControl/>
              <w:jc w:val="center"/>
              <w:rPr>
                <w:rFonts w:ascii="宋体" w:hAnsi="宋体" w:eastAsia="宋体" w:cs="宋体"/>
                <w:color w:val="auto"/>
                <w:szCs w:val="21"/>
              </w:rPr>
            </w:pPr>
            <w:r>
              <w:rPr>
                <w:rFonts w:hint="eastAsia" w:ascii="宋体" w:hAnsi="宋体" w:eastAsia="宋体" w:cs="宋体"/>
                <w:color w:val="auto"/>
                <w:szCs w:val="21"/>
              </w:rPr>
              <w:t>设备信息</w:t>
            </w:r>
          </w:p>
        </w:tc>
        <w:tc>
          <w:tcPr>
            <w:tcW w:w="1231" w:type="pct"/>
            <w:noWrap/>
            <w:vAlign w:val="center"/>
          </w:tcPr>
          <w:p w14:paraId="73A6ACEF">
            <w:pPr>
              <w:widowControl/>
              <w:jc w:val="center"/>
              <w:rPr>
                <w:rFonts w:ascii="宋体" w:hAnsi="宋体" w:eastAsia="宋体" w:cs="宋体"/>
                <w:color w:val="auto"/>
                <w:szCs w:val="21"/>
              </w:rPr>
            </w:pPr>
            <w:r>
              <w:rPr>
                <w:rFonts w:hint="eastAsia" w:ascii="宋体" w:hAnsi="宋体" w:eastAsia="宋体" w:cs="宋体"/>
                <w:color w:val="auto"/>
                <w:szCs w:val="21"/>
              </w:rPr>
              <w:t>50000次/年</w:t>
            </w:r>
          </w:p>
        </w:tc>
      </w:tr>
      <w:tr w14:paraId="4A0A2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noWrap/>
            <w:vAlign w:val="center"/>
          </w:tcPr>
          <w:p w14:paraId="7F126FDD">
            <w:pPr>
              <w:widowControl/>
              <w:numPr>
                <w:ilvl w:val="0"/>
                <w:numId w:val="6"/>
              </w:numPr>
              <w:jc w:val="center"/>
              <w:rPr>
                <w:rFonts w:ascii="宋体" w:hAnsi="宋体" w:eastAsia="宋体" w:cs="宋体"/>
                <w:color w:val="auto"/>
                <w:szCs w:val="21"/>
              </w:rPr>
            </w:pPr>
          </w:p>
        </w:tc>
        <w:tc>
          <w:tcPr>
            <w:tcW w:w="1154" w:type="pct"/>
            <w:vMerge w:val="continue"/>
            <w:noWrap/>
            <w:vAlign w:val="center"/>
          </w:tcPr>
          <w:p w14:paraId="7FAEA4D5">
            <w:pPr>
              <w:widowControl/>
              <w:jc w:val="center"/>
              <w:rPr>
                <w:rFonts w:ascii="宋体" w:hAnsi="宋体" w:eastAsia="宋体" w:cs="宋体"/>
                <w:color w:val="auto"/>
                <w:szCs w:val="21"/>
              </w:rPr>
            </w:pPr>
          </w:p>
        </w:tc>
        <w:tc>
          <w:tcPr>
            <w:tcW w:w="2064" w:type="pct"/>
            <w:noWrap/>
            <w:vAlign w:val="center"/>
          </w:tcPr>
          <w:p w14:paraId="3E1C94D6">
            <w:pPr>
              <w:widowControl/>
              <w:jc w:val="center"/>
              <w:rPr>
                <w:rFonts w:ascii="宋体" w:hAnsi="宋体" w:eastAsia="宋体" w:cs="宋体"/>
                <w:color w:val="auto"/>
                <w:szCs w:val="21"/>
              </w:rPr>
            </w:pPr>
            <w:r>
              <w:rPr>
                <w:rFonts w:hint="eastAsia" w:ascii="宋体" w:hAnsi="宋体" w:eastAsia="宋体" w:cs="宋体"/>
                <w:color w:val="auto"/>
                <w:szCs w:val="21"/>
              </w:rPr>
              <w:t>历史WIFI/IP</w:t>
            </w:r>
          </w:p>
        </w:tc>
        <w:tc>
          <w:tcPr>
            <w:tcW w:w="1231" w:type="pct"/>
            <w:noWrap/>
            <w:vAlign w:val="center"/>
          </w:tcPr>
          <w:p w14:paraId="6FB0355A">
            <w:pPr>
              <w:widowControl/>
              <w:jc w:val="center"/>
              <w:rPr>
                <w:rFonts w:ascii="宋体" w:hAnsi="宋体" w:eastAsia="宋体" w:cs="宋体"/>
                <w:color w:val="auto"/>
                <w:szCs w:val="21"/>
              </w:rPr>
            </w:pPr>
            <w:r>
              <w:rPr>
                <w:rFonts w:hint="eastAsia" w:ascii="宋体" w:hAnsi="宋体" w:eastAsia="宋体" w:cs="宋体"/>
                <w:color w:val="auto"/>
                <w:szCs w:val="21"/>
              </w:rPr>
              <w:t>50000次/年</w:t>
            </w:r>
          </w:p>
        </w:tc>
      </w:tr>
      <w:tr w14:paraId="4FF0E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noWrap/>
            <w:vAlign w:val="center"/>
          </w:tcPr>
          <w:p w14:paraId="77BA1DB2">
            <w:pPr>
              <w:widowControl/>
              <w:numPr>
                <w:ilvl w:val="0"/>
                <w:numId w:val="6"/>
              </w:numPr>
              <w:jc w:val="center"/>
              <w:rPr>
                <w:rFonts w:ascii="宋体" w:hAnsi="宋体" w:eastAsia="宋体" w:cs="宋体"/>
                <w:color w:val="auto"/>
                <w:szCs w:val="21"/>
              </w:rPr>
            </w:pPr>
          </w:p>
        </w:tc>
        <w:tc>
          <w:tcPr>
            <w:tcW w:w="1154" w:type="pct"/>
            <w:vMerge w:val="continue"/>
            <w:noWrap/>
            <w:vAlign w:val="center"/>
          </w:tcPr>
          <w:p w14:paraId="6A4B3B8B">
            <w:pPr>
              <w:widowControl/>
              <w:jc w:val="center"/>
              <w:rPr>
                <w:rFonts w:ascii="宋体" w:hAnsi="宋体" w:eastAsia="宋体" w:cs="宋体"/>
                <w:color w:val="auto"/>
                <w:szCs w:val="21"/>
              </w:rPr>
            </w:pPr>
          </w:p>
        </w:tc>
        <w:tc>
          <w:tcPr>
            <w:tcW w:w="2064" w:type="pct"/>
            <w:noWrap/>
            <w:vAlign w:val="center"/>
          </w:tcPr>
          <w:p w14:paraId="7DA81069">
            <w:pPr>
              <w:widowControl/>
              <w:jc w:val="center"/>
              <w:rPr>
                <w:rFonts w:ascii="宋体" w:hAnsi="宋体" w:eastAsia="宋体" w:cs="宋体"/>
                <w:color w:val="auto"/>
                <w:szCs w:val="21"/>
              </w:rPr>
            </w:pPr>
            <w:r>
              <w:rPr>
                <w:rFonts w:hint="eastAsia" w:ascii="宋体" w:hAnsi="宋体" w:eastAsia="宋体" w:cs="宋体"/>
                <w:color w:val="auto"/>
                <w:szCs w:val="21"/>
              </w:rPr>
              <w:t>GJ走势</w:t>
            </w:r>
          </w:p>
        </w:tc>
        <w:tc>
          <w:tcPr>
            <w:tcW w:w="1231" w:type="pct"/>
            <w:noWrap/>
            <w:vAlign w:val="center"/>
          </w:tcPr>
          <w:p w14:paraId="24E92A3B">
            <w:pPr>
              <w:widowControl/>
              <w:jc w:val="center"/>
              <w:rPr>
                <w:rFonts w:ascii="宋体" w:hAnsi="宋体" w:eastAsia="宋体" w:cs="宋体"/>
                <w:color w:val="auto"/>
                <w:szCs w:val="21"/>
              </w:rPr>
            </w:pPr>
            <w:r>
              <w:rPr>
                <w:rFonts w:hint="eastAsia" w:ascii="宋体" w:hAnsi="宋体" w:eastAsia="宋体" w:cs="宋体"/>
                <w:color w:val="auto"/>
                <w:szCs w:val="21"/>
              </w:rPr>
              <w:t>50000次/年</w:t>
            </w:r>
          </w:p>
        </w:tc>
      </w:tr>
      <w:tr w14:paraId="52216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noWrap/>
            <w:vAlign w:val="center"/>
          </w:tcPr>
          <w:p w14:paraId="76266807">
            <w:pPr>
              <w:widowControl/>
              <w:numPr>
                <w:ilvl w:val="0"/>
                <w:numId w:val="6"/>
              </w:numPr>
              <w:jc w:val="center"/>
              <w:rPr>
                <w:rFonts w:ascii="宋体" w:hAnsi="宋体" w:eastAsia="宋体" w:cs="宋体"/>
                <w:color w:val="auto"/>
                <w:szCs w:val="21"/>
              </w:rPr>
            </w:pPr>
          </w:p>
        </w:tc>
        <w:tc>
          <w:tcPr>
            <w:tcW w:w="1154" w:type="pct"/>
            <w:vMerge w:val="continue"/>
            <w:noWrap/>
            <w:vAlign w:val="center"/>
          </w:tcPr>
          <w:p w14:paraId="242AFBD7">
            <w:pPr>
              <w:widowControl/>
              <w:jc w:val="center"/>
              <w:rPr>
                <w:rFonts w:ascii="宋体" w:hAnsi="宋体" w:eastAsia="宋体" w:cs="宋体"/>
                <w:color w:val="auto"/>
                <w:szCs w:val="21"/>
              </w:rPr>
            </w:pPr>
          </w:p>
        </w:tc>
        <w:tc>
          <w:tcPr>
            <w:tcW w:w="2064" w:type="pct"/>
            <w:noWrap/>
            <w:vAlign w:val="center"/>
          </w:tcPr>
          <w:p w14:paraId="4F6FB69B">
            <w:pPr>
              <w:widowControl/>
              <w:jc w:val="center"/>
              <w:rPr>
                <w:rFonts w:ascii="宋体" w:hAnsi="宋体" w:eastAsia="宋体" w:cs="宋体"/>
                <w:color w:val="auto"/>
                <w:szCs w:val="21"/>
              </w:rPr>
            </w:pPr>
            <w:r>
              <w:rPr>
                <w:rFonts w:hint="eastAsia" w:ascii="宋体" w:hAnsi="宋体" w:eastAsia="宋体" w:cs="宋体"/>
                <w:color w:val="auto"/>
                <w:szCs w:val="21"/>
              </w:rPr>
              <w:t>APP应用分析</w:t>
            </w:r>
          </w:p>
        </w:tc>
        <w:tc>
          <w:tcPr>
            <w:tcW w:w="1231" w:type="pct"/>
            <w:noWrap/>
            <w:vAlign w:val="center"/>
          </w:tcPr>
          <w:p w14:paraId="668AEACC">
            <w:pPr>
              <w:widowControl/>
              <w:jc w:val="center"/>
              <w:rPr>
                <w:rFonts w:ascii="宋体" w:hAnsi="宋体" w:eastAsia="宋体" w:cs="宋体"/>
                <w:color w:val="auto"/>
                <w:szCs w:val="21"/>
              </w:rPr>
            </w:pPr>
            <w:r>
              <w:rPr>
                <w:rFonts w:hint="eastAsia" w:ascii="宋体" w:hAnsi="宋体" w:eastAsia="宋体" w:cs="宋体"/>
                <w:color w:val="auto"/>
                <w:szCs w:val="21"/>
              </w:rPr>
              <w:t>50000次/年</w:t>
            </w:r>
          </w:p>
        </w:tc>
      </w:tr>
      <w:tr w14:paraId="3D4E7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noWrap/>
            <w:vAlign w:val="center"/>
          </w:tcPr>
          <w:p w14:paraId="43A2B83A">
            <w:pPr>
              <w:widowControl/>
              <w:numPr>
                <w:ilvl w:val="0"/>
                <w:numId w:val="6"/>
              </w:numPr>
              <w:jc w:val="center"/>
              <w:rPr>
                <w:rFonts w:ascii="宋体" w:hAnsi="宋体" w:eastAsia="宋体" w:cs="宋体"/>
                <w:color w:val="auto"/>
                <w:szCs w:val="21"/>
              </w:rPr>
            </w:pPr>
          </w:p>
        </w:tc>
        <w:tc>
          <w:tcPr>
            <w:tcW w:w="1154" w:type="pct"/>
            <w:noWrap/>
            <w:vAlign w:val="center"/>
          </w:tcPr>
          <w:p w14:paraId="7F4F005A">
            <w:pPr>
              <w:jc w:val="center"/>
              <w:rPr>
                <w:rFonts w:ascii="宋体" w:hAnsi="宋体" w:eastAsia="宋体" w:cs="宋体"/>
                <w:color w:val="auto"/>
                <w:szCs w:val="21"/>
              </w:rPr>
            </w:pPr>
            <w:r>
              <w:rPr>
                <w:rFonts w:hint="eastAsia" w:ascii="宋体" w:hAnsi="宋体" w:eastAsia="宋体" w:cs="宋体"/>
                <w:color w:val="auto"/>
                <w:szCs w:val="21"/>
              </w:rPr>
              <w:t>WiFi查询接口</w:t>
            </w:r>
          </w:p>
        </w:tc>
        <w:tc>
          <w:tcPr>
            <w:tcW w:w="2064" w:type="pct"/>
            <w:noWrap/>
            <w:vAlign w:val="center"/>
          </w:tcPr>
          <w:p w14:paraId="5BB1871D">
            <w:pPr>
              <w:widowControl/>
              <w:jc w:val="center"/>
              <w:rPr>
                <w:rFonts w:ascii="宋体" w:hAnsi="宋体" w:eastAsia="宋体" w:cs="宋体"/>
                <w:color w:val="auto"/>
                <w:szCs w:val="21"/>
              </w:rPr>
            </w:pPr>
            <w:r>
              <w:rPr>
                <w:rFonts w:hint="eastAsia" w:ascii="宋体" w:hAnsi="宋体" w:eastAsia="宋体" w:cs="宋体"/>
                <w:color w:val="auto"/>
                <w:szCs w:val="21"/>
              </w:rPr>
              <w:t>WiFi查询</w:t>
            </w:r>
          </w:p>
        </w:tc>
        <w:tc>
          <w:tcPr>
            <w:tcW w:w="1231" w:type="pct"/>
            <w:noWrap/>
            <w:vAlign w:val="center"/>
          </w:tcPr>
          <w:p w14:paraId="6B1BC1A4">
            <w:pPr>
              <w:widowControl/>
              <w:jc w:val="center"/>
              <w:rPr>
                <w:rFonts w:ascii="宋体" w:hAnsi="宋体" w:eastAsia="宋体" w:cs="宋体"/>
                <w:color w:val="auto"/>
                <w:szCs w:val="21"/>
              </w:rPr>
            </w:pPr>
            <w:r>
              <w:rPr>
                <w:rFonts w:hint="eastAsia" w:ascii="宋体" w:hAnsi="宋体" w:eastAsia="宋体" w:cs="宋体"/>
                <w:color w:val="auto"/>
                <w:szCs w:val="21"/>
              </w:rPr>
              <w:t>30000次/年</w:t>
            </w:r>
          </w:p>
        </w:tc>
      </w:tr>
      <w:tr w14:paraId="18ACA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noWrap/>
            <w:vAlign w:val="center"/>
          </w:tcPr>
          <w:p w14:paraId="24E3D2C8">
            <w:pPr>
              <w:widowControl/>
              <w:numPr>
                <w:ilvl w:val="0"/>
                <w:numId w:val="6"/>
              </w:numPr>
              <w:jc w:val="center"/>
              <w:rPr>
                <w:rFonts w:ascii="宋体" w:hAnsi="宋体" w:eastAsia="宋体" w:cs="宋体"/>
                <w:color w:val="auto"/>
                <w:szCs w:val="21"/>
              </w:rPr>
            </w:pPr>
          </w:p>
        </w:tc>
        <w:tc>
          <w:tcPr>
            <w:tcW w:w="1154" w:type="pct"/>
            <w:noWrap/>
            <w:vAlign w:val="center"/>
          </w:tcPr>
          <w:p w14:paraId="0BA5CE74">
            <w:pPr>
              <w:jc w:val="center"/>
              <w:rPr>
                <w:rFonts w:ascii="宋体" w:hAnsi="宋体" w:eastAsia="宋体" w:cs="宋体"/>
                <w:color w:val="auto"/>
                <w:szCs w:val="21"/>
              </w:rPr>
            </w:pPr>
            <w:r>
              <w:rPr>
                <w:rFonts w:hint="eastAsia" w:ascii="宋体" w:hAnsi="宋体" w:eastAsia="宋体" w:cs="宋体"/>
                <w:color w:val="auto"/>
                <w:szCs w:val="21"/>
              </w:rPr>
              <w:t>IP查询接口</w:t>
            </w:r>
          </w:p>
        </w:tc>
        <w:tc>
          <w:tcPr>
            <w:tcW w:w="2064" w:type="pct"/>
            <w:noWrap/>
            <w:vAlign w:val="center"/>
          </w:tcPr>
          <w:p w14:paraId="7CB24C1D">
            <w:pPr>
              <w:widowControl/>
              <w:jc w:val="center"/>
              <w:rPr>
                <w:rFonts w:ascii="宋体" w:hAnsi="宋体" w:eastAsia="宋体" w:cs="宋体"/>
                <w:color w:val="auto"/>
                <w:szCs w:val="21"/>
              </w:rPr>
            </w:pPr>
            <w:r>
              <w:rPr>
                <w:rFonts w:hint="eastAsia" w:ascii="宋体" w:hAnsi="宋体" w:eastAsia="宋体" w:cs="宋体"/>
                <w:color w:val="auto"/>
                <w:szCs w:val="21"/>
              </w:rPr>
              <w:t>IP查询</w:t>
            </w:r>
          </w:p>
        </w:tc>
        <w:tc>
          <w:tcPr>
            <w:tcW w:w="1231" w:type="pct"/>
            <w:noWrap/>
            <w:vAlign w:val="center"/>
          </w:tcPr>
          <w:p w14:paraId="1750B9B8">
            <w:pPr>
              <w:widowControl/>
              <w:jc w:val="center"/>
              <w:rPr>
                <w:rFonts w:ascii="宋体" w:hAnsi="宋体" w:eastAsia="宋体" w:cs="宋体"/>
                <w:color w:val="auto"/>
                <w:szCs w:val="21"/>
              </w:rPr>
            </w:pPr>
            <w:r>
              <w:rPr>
                <w:rFonts w:hint="eastAsia" w:ascii="宋体" w:hAnsi="宋体" w:eastAsia="宋体" w:cs="宋体"/>
                <w:color w:val="auto"/>
                <w:szCs w:val="21"/>
              </w:rPr>
              <w:t>30000次/年</w:t>
            </w:r>
          </w:p>
        </w:tc>
      </w:tr>
      <w:tr w14:paraId="1077B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noWrap/>
            <w:vAlign w:val="center"/>
          </w:tcPr>
          <w:p w14:paraId="402712B9">
            <w:pPr>
              <w:widowControl/>
              <w:numPr>
                <w:ilvl w:val="0"/>
                <w:numId w:val="6"/>
              </w:numPr>
              <w:jc w:val="center"/>
              <w:rPr>
                <w:rFonts w:ascii="宋体" w:hAnsi="宋体" w:eastAsia="宋体" w:cs="宋体"/>
                <w:color w:val="auto"/>
                <w:szCs w:val="21"/>
              </w:rPr>
            </w:pPr>
          </w:p>
        </w:tc>
        <w:tc>
          <w:tcPr>
            <w:tcW w:w="1154" w:type="pct"/>
            <w:noWrap/>
            <w:vAlign w:val="center"/>
          </w:tcPr>
          <w:p w14:paraId="43CB71B5">
            <w:pPr>
              <w:jc w:val="center"/>
              <w:rPr>
                <w:rFonts w:ascii="宋体" w:hAnsi="宋体" w:eastAsia="宋体" w:cs="宋体"/>
                <w:color w:val="auto"/>
                <w:szCs w:val="21"/>
              </w:rPr>
            </w:pPr>
            <w:r>
              <w:rPr>
                <w:rFonts w:hint="eastAsia" w:ascii="宋体" w:hAnsi="宋体" w:eastAsia="宋体" w:cs="宋体"/>
                <w:color w:val="auto"/>
                <w:szCs w:val="21"/>
              </w:rPr>
              <w:t>APP查询接口</w:t>
            </w:r>
          </w:p>
        </w:tc>
        <w:tc>
          <w:tcPr>
            <w:tcW w:w="2064" w:type="pct"/>
            <w:noWrap/>
            <w:vAlign w:val="center"/>
          </w:tcPr>
          <w:p w14:paraId="021E87B0">
            <w:pPr>
              <w:widowControl/>
              <w:jc w:val="center"/>
              <w:rPr>
                <w:rFonts w:ascii="宋体" w:hAnsi="宋体" w:eastAsia="宋体" w:cs="宋体"/>
                <w:color w:val="auto"/>
                <w:szCs w:val="21"/>
              </w:rPr>
            </w:pPr>
            <w:r>
              <w:rPr>
                <w:rFonts w:hint="eastAsia" w:ascii="宋体" w:hAnsi="宋体" w:eastAsia="宋体" w:cs="宋体"/>
                <w:color w:val="auto"/>
                <w:szCs w:val="21"/>
              </w:rPr>
              <w:t>APP查询</w:t>
            </w:r>
          </w:p>
        </w:tc>
        <w:tc>
          <w:tcPr>
            <w:tcW w:w="1231" w:type="pct"/>
            <w:noWrap/>
            <w:vAlign w:val="center"/>
          </w:tcPr>
          <w:p w14:paraId="44AD61D2">
            <w:pPr>
              <w:widowControl/>
              <w:jc w:val="center"/>
              <w:rPr>
                <w:rFonts w:ascii="宋体" w:hAnsi="宋体" w:eastAsia="宋体" w:cs="宋体"/>
                <w:color w:val="auto"/>
                <w:szCs w:val="21"/>
              </w:rPr>
            </w:pPr>
            <w:r>
              <w:rPr>
                <w:rFonts w:hint="eastAsia" w:ascii="宋体" w:hAnsi="宋体" w:eastAsia="宋体" w:cs="宋体"/>
                <w:color w:val="auto"/>
                <w:szCs w:val="21"/>
              </w:rPr>
              <w:t>不限次</w:t>
            </w:r>
          </w:p>
        </w:tc>
      </w:tr>
      <w:tr w14:paraId="5A077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noWrap/>
            <w:vAlign w:val="center"/>
          </w:tcPr>
          <w:p w14:paraId="108B5A34">
            <w:pPr>
              <w:widowControl/>
              <w:numPr>
                <w:ilvl w:val="0"/>
                <w:numId w:val="6"/>
              </w:numPr>
              <w:jc w:val="center"/>
              <w:rPr>
                <w:rFonts w:ascii="宋体" w:hAnsi="宋体" w:eastAsia="宋体" w:cs="宋体"/>
                <w:color w:val="auto"/>
                <w:szCs w:val="21"/>
              </w:rPr>
            </w:pPr>
          </w:p>
        </w:tc>
        <w:tc>
          <w:tcPr>
            <w:tcW w:w="1154" w:type="pct"/>
            <w:noWrap/>
            <w:vAlign w:val="center"/>
          </w:tcPr>
          <w:p w14:paraId="21562F26">
            <w:pPr>
              <w:jc w:val="center"/>
              <w:rPr>
                <w:rFonts w:ascii="宋体" w:hAnsi="宋体" w:eastAsia="宋体" w:cs="宋体"/>
                <w:color w:val="auto"/>
                <w:szCs w:val="21"/>
              </w:rPr>
            </w:pPr>
            <w:r>
              <w:rPr>
                <w:rFonts w:hint="eastAsia" w:ascii="宋体" w:hAnsi="宋体" w:eastAsia="宋体" w:cs="宋体"/>
                <w:color w:val="auto"/>
                <w:szCs w:val="21"/>
              </w:rPr>
              <w:t>JW度查询接口</w:t>
            </w:r>
          </w:p>
        </w:tc>
        <w:tc>
          <w:tcPr>
            <w:tcW w:w="2064" w:type="pct"/>
            <w:noWrap/>
            <w:vAlign w:val="center"/>
          </w:tcPr>
          <w:p w14:paraId="4C42C125">
            <w:pPr>
              <w:widowControl/>
              <w:jc w:val="center"/>
              <w:rPr>
                <w:rFonts w:ascii="宋体" w:hAnsi="宋体" w:eastAsia="宋体" w:cs="宋体"/>
                <w:color w:val="auto"/>
                <w:szCs w:val="21"/>
              </w:rPr>
            </w:pPr>
            <w:r>
              <w:rPr>
                <w:rFonts w:hint="eastAsia" w:ascii="宋体" w:hAnsi="宋体" w:eastAsia="宋体" w:cs="宋体"/>
                <w:color w:val="auto"/>
                <w:szCs w:val="21"/>
              </w:rPr>
              <w:t>JW度分析</w:t>
            </w:r>
          </w:p>
        </w:tc>
        <w:tc>
          <w:tcPr>
            <w:tcW w:w="1231" w:type="pct"/>
            <w:noWrap/>
            <w:vAlign w:val="center"/>
          </w:tcPr>
          <w:p w14:paraId="1352E34A">
            <w:pPr>
              <w:widowControl/>
              <w:jc w:val="center"/>
              <w:rPr>
                <w:rFonts w:ascii="宋体" w:hAnsi="宋体" w:eastAsia="宋体" w:cs="宋体"/>
                <w:color w:val="auto"/>
                <w:szCs w:val="21"/>
              </w:rPr>
            </w:pPr>
            <w:r>
              <w:rPr>
                <w:rFonts w:hint="eastAsia" w:ascii="宋体" w:hAnsi="宋体" w:eastAsia="宋体" w:cs="宋体"/>
                <w:color w:val="auto"/>
                <w:szCs w:val="21"/>
              </w:rPr>
              <w:t>15000次/年</w:t>
            </w:r>
          </w:p>
        </w:tc>
      </w:tr>
      <w:tr w14:paraId="49D77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noWrap/>
            <w:vAlign w:val="center"/>
          </w:tcPr>
          <w:p w14:paraId="57D26EA6">
            <w:pPr>
              <w:widowControl/>
              <w:numPr>
                <w:ilvl w:val="0"/>
                <w:numId w:val="6"/>
              </w:numPr>
              <w:jc w:val="center"/>
              <w:rPr>
                <w:rFonts w:ascii="宋体" w:hAnsi="宋体" w:eastAsia="宋体" w:cs="宋体"/>
                <w:color w:val="auto"/>
                <w:szCs w:val="21"/>
              </w:rPr>
            </w:pPr>
          </w:p>
        </w:tc>
        <w:tc>
          <w:tcPr>
            <w:tcW w:w="1154" w:type="pct"/>
            <w:noWrap/>
            <w:vAlign w:val="center"/>
          </w:tcPr>
          <w:p w14:paraId="5FF20476">
            <w:pPr>
              <w:jc w:val="center"/>
              <w:rPr>
                <w:rFonts w:ascii="宋体" w:hAnsi="宋体" w:eastAsia="宋体" w:cs="宋体"/>
                <w:color w:val="auto"/>
                <w:szCs w:val="21"/>
              </w:rPr>
            </w:pPr>
            <w:r>
              <w:rPr>
                <w:rFonts w:hint="eastAsia" w:ascii="宋体" w:hAnsi="宋体" w:eastAsia="宋体" w:cs="宋体"/>
                <w:color w:val="auto"/>
                <w:szCs w:val="21"/>
              </w:rPr>
              <w:t>JZ查询接口</w:t>
            </w:r>
          </w:p>
        </w:tc>
        <w:tc>
          <w:tcPr>
            <w:tcW w:w="2064" w:type="pct"/>
            <w:noWrap/>
            <w:vAlign w:val="center"/>
          </w:tcPr>
          <w:p w14:paraId="4D20A08A">
            <w:pPr>
              <w:widowControl/>
              <w:jc w:val="center"/>
              <w:rPr>
                <w:rFonts w:ascii="宋体" w:hAnsi="宋体" w:eastAsia="宋体" w:cs="宋体"/>
                <w:color w:val="auto"/>
                <w:szCs w:val="21"/>
              </w:rPr>
            </w:pPr>
            <w:r>
              <w:rPr>
                <w:rFonts w:hint="eastAsia" w:ascii="宋体" w:hAnsi="宋体" w:eastAsia="宋体" w:cs="宋体"/>
                <w:color w:val="auto"/>
                <w:szCs w:val="21"/>
              </w:rPr>
              <w:t>JZ查询</w:t>
            </w:r>
          </w:p>
        </w:tc>
        <w:tc>
          <w:tcPr>
            <w:tcW w:w="1231" w:type="pct"/>
            <w:noWrap/>
            <w:vAlign w:val="center"/>
          </w:tcPr>
          <w:p w14:paraId="4A8864A7">
            <w:pPr>
              <w:widowControl/>
              <w:jc w:val="center"/>
              <w:rPr>
                <w:rFonts w:ascii="宋体" w:hAnsi="宋体" w:eastAsia="宋体" w:cs="宋体"/>
                <w:color w:val="auto"/>
                <w:szCs w:val="21"/>
              </w:rPr>
            </w:pPr>
            <w:r>
              <w:rPr>
                <w:rFonts w:hint="eastAsia" w:ascii="宋体" w:hAnsi="宋体" w:eastAsia="宋体" w:cs="宋体"/>
                <w:color w:val="auto"/>
                <w:szCs w:val="21"/>
              </w:rPr>
              <w:t>15000次/年</w:t>
            </w:r>
          </w:p>
        </w:tc>
      </w:tr>
      <w:tr w14:paraId="2EED3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noWrap/>
            <w:vAlign w:val="center"/>
          </w:tcPr>
          <w:p w14:paraId="25E8E4AA">
            <w:pPr>
              <w:widowControl/>
              <w:numPr>
                <w:ilvl w:val="0"/>
                <w:numId w:val="6"/>
              </w:numPr>
              <w:jc w:val="center"/>
              <w:rPr>
                <w:rFonts w:ascii="宋体" w:hAnsi="宋体" w:eastAsia="宋体" w:cs="宋体"/>
                <w:color w:val="auto"/>
                <w:szCs w:val="21"/>
              </w:rPr>
            </w:pPr>
          </w:p>
        </w:tc>
        <w:tc>
          <w:tcPr>
            <w:tcW w:w="1154" w:type="pct"/>
            <w:vMerge w:val="restart"/>
            <w:noWrap/>
            <w:vAlign w:val="center"/>
          </w:tcPr>
          <w:p w14:paraId="6BFE1D87">
            <w:pPr>
              <w:jc w:val="center"/>
              <w:rPr>
                <w:rFonts w:ascii="宋体" w:hAnsi="宋体" w:eastAsia="宋体" w:cs="宋体"/>
                <w:color w:val="auto"/>
                <w:szCs w:val="21"/>
              </w:rPr>
            </w:pPr>
            <w:r>
              <w:rPr>
                <w:rFonts w:hint="eastAsia" w:ascii="宋体" w:hAnsi="宋体" w:eastAsia="宋体" w:cs="宋体"/>
                <w:color w:val="auto"/>
                <w:szCs w:val="21"/>
              </w:rPr>
              <w:t>研判查询接口</w:t>
            </w:r>
          </w:p>
        </w:tc>
        <w:tc>
          <w:tcPr>
            <w:tcW w:w="2064" w:type="pct"/>
            <w:noWrap/>
            <w:vAlign w:val="center"/>
          </w:tcPr>
          <w:p w14:paraId="082CCEA8">
            <w:pPr>
              <w:widowControl/>
              <w:jc w:val="center"/>
              <w:rPr>
                <w:rFonts w:ascii="宋体" w:hAnsi="宋体" w:eastAsia="宋体" w:cs="宋体"/>
                <w:color w:val="auto"/>
                <w:szCs w:val="21"/>
              </w:rPr>
            </w:pPr>
            <w:r>
              <w:rPr>
                <w:rFonts w:hint="eastAsia" w:ascii="宋体" w:hAnsi="宋体" w:eastAsia="宋体" w:cs="宋体"/>
                <w:color w:val="auto"/>
                <w:szCs w:val="21"/>
              </w:rPr>
              <w:t>零号设备分析</w:t>
            </w:r>
          </w:p>
        </w:tc>
        <w:tc>
          <w:tcPr>
            <w:tcW w:w="1231" w:type="pct"/>
            <w:noWrap/>
            <w:vAlign w:val="center"/>
          </w:tcPr>
          <w:p w14:paraId="35A9E3DC">
            <w:pPr>
              <w:widowControl/>
              <w:jc w:val="center"/>
              <w:rPr>
                <w:rFonts w:ascii="宋体" w:hAnsi="宋体" w:eastAsia="宋体" w:cs="宋体"/>
                <w:color w:val="auto"/>
                <w:szCs w:val="21"/>
              </w:rPr>
            </w:pPr>
            <w:r>
              <w:rPr>
                <w:rFonts w:hint="eastAsia" w:ascii="宋体" w:hAnsi="宋体" w:eastAsia="宋体" w:cs="宋体"/>
                <w:color w:val="auto"/>
                <w:szCs w:val="21"/>
              </w:rPr>
              <w:t>8000次/年</w:t>
            </w:r>
          </w:p>
        </w:tc>
      </w:tr>
      <w:tr w14:paraId="5F0AD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noWrap/>
            <w:vAlign w:val="center"/>
          </w:tcPr>
          <w:p w14:paraId="7FB50426">
            <w:pPr>
              <w:widowControl/>
              <w:numPr>
                <w:ilvl w:val="0"/>
                <w:numId w:val="6"/>
              </w:numPr>
              <w:jc w:val="center"/>
              <w:rPr>
                <w:rFonts w:ascii="宋体" w:hAnsi="宋体" w:eastAsia="宋体" w:cs="宋体"/>
                <w:color w:val="auto"/>
                <w:szCs w:val="21"/>
              </w:rPr>
            </w:pPr>
          </w:p>
        </w:tc>
        <w:tc>
          <w:tcPr>
            <w:tcW w:w="1154" w:type="pct"/>
            <w:vMerge w:val="continue"/>
            <w:noWrap/>
            <w:vAlign w:val="center"/>
          </w:tcPr>
          <w:p w14:paraId="3ED4ABC9">
            <w:pPr>
              <w:jc w:val="center"/>
              <w:rPr>
                <w:rFonts w:ascii="宋体" w:hAnsi="宋体" w:eastAsia="宋体" w:cs="宋体"/>
                <w:color w:val="auto"/>
                <w:szCs w:val="21"/>
              </w:rPr>
            </w:pPr>
          </w:p>
        </w:tc>
        <w:tc>
          <w:tcPr>
            <w:tcW w:w="2064" w:type="pct"/>
            <w:noWrap/>
            <w:vAlign w:val="center"/>
          </w:tcPr>
          <w:p w14:paraId="2B58B708">
            <w:pPr>
              <w:widowControl/>
              <w:jc w:val="center"/>
              <w:rPr>
                <w:rFonts w:ascii="宋体" w:hAnsi="宋体" w:eastAsia="宋体" w:cs="宋体"/>
                <w:color w:val="auto"/>
                <w:szCs w:val="21"/>
              </w:rPr>
            </w:pPr>
            <w:r>
              <w:rPr>
                <w:rFonts w:hint="eastAsia" w:ascii="宋体" w:hAnsi="宋体" w:eastAsia="宋体" w:cs="宋体"/>
                <w:color w:val="auto"/>
                <w:szCs w:val="21"/>
              </w:rPr>
              <w:t>WiFi碰撞</w:t>
            </w:r>
          </w:p>
        </w:tc>
        <w:tc>
          <w:tcPr>
            <w:tcW w:w="1231" w:type="pct"/>
            <w:noWrap/>
            <w:vAlign w:val="center"/>
          </w:tcPr>
          <w:p w14:paraId="6D081029">
            <w:pPr>
              <w:widowControl/>
              <w:jc w:val="center"/>
              <w:rPr>
                <w:rFonts w:ascii="宋体" w:hAnsi="宋体" w:eastAsia="宋体" w:cs="宋体"/>
                <w:color w:val="auto"/>
                <w:szCs w:val="21"/>
              </w:rPr>
            </w:pPr>
            <w:r>
              <w:rPr>
                <w:rFonts w:hint="eastAsia" w:ascii="宋体" w:hAnsi="宋体" w:eastAsia="宋体" w:cs="宋体"/>
                <w:color w:val="auto"/>
                <w:szCs w:val="21"/>
              </w:rPr>
              <w:t>5000次/年</w:t>
            </w:r>
          </w:p>
        </w:tc>
      </w:tr>
      <w:tr w14:paraId="126C3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noWrap/>
            <w:vAlign w:val="center"/>
          </w:tcPr>
          <w:p w14:paraId="3E17BD90">
            <w:pPr>
              <w:widowControl/>
              <w:numPr>
                <w:ilvl w:val="0"/>
                <w:numId w:val="6"/>
              </w:numPr>
              <w:jc w:val="center"/>
              <w:rPr>
                <w:rFonts w:ascii="宋体" w:hAnsi="宋体" w:eastAsia="宋体" w:cs="宋体"/>
                <w:color w:val="auto"/>
                <w:szCs w:val="21"/>
              </w:rPr>
            </w:pPr>
          </w:p>
        </w:tc>
        <w:tc>
          <w:tcPr>
            <w:tcW w:w="1154" w:type="pct"/>
            <w:vMerge w:val="continue"/>
            <w:noWrap/>
            <w:vAlign w:val="center"/>
          </w:tcPr>
          <w:p w14:paraId="053E8A68">
            <w:pPr>
              <w:jc w:val="center"/>
              <w:rPr>
                <w:rFonts w:ascii="宋体" w:hAnsi="宋体" w:eastAsia="宋体" w:cs="宋体"/>
                <w:color w:val="auto"/>
                <w:szCs w:val="21"/>
              </w:rPr>
            </w:pPr>
          </w:p>
        </w:tc>
        <w:tc>
          <w:tcPr>
            <w:tcW w:w="2064" w:type="pct"/>
            <w:noWrap/>
            <w:vAlign w:val="center"/>
          </w:tcPr>
          <w:p w14:paraId="733BBAC9">
            <w:pPr>
              <w:widowControl/>
              <w:jc w:val="center"/>
              <w:rPr>
                <w:rFonts w:ascii="宋体" w:hAnsi="宋体" w:eastAsia="宋体" w:cs="宋体"/>
                <w:color w:val="auto"/>
                <w:szCs w:val="21"/>
              </w:rPr>
            </w:pPr>
            <w:r>
              <w:rPr>
                <w:rFonts w:hint="eastAsia" w:ascii="宋体" w:hAnsi="宋体" w:eastAsia="宋体" w:cs="宋体"/>
                <w:color w:val="auto"/>
                <w:szCs w:val="21"/>
              </w:rPr>
              <w:t>IP碰撞</w:t>
            </w:r>
          </w:p>
        </w:tc>
        <w:tc>
          <w:tcPr>
            <w:tcW w:w="1231" w:type="pct"/>
            <w:noWrap/>
            <w:vAlign w:val="center"/>
          </w:tcPr>
          <w:p w14:paraId="5AECBB20">
            <w:pPr>
              <w:widowControl/>
              <w:jc w:val="center"/>
              <w:rPr>
                <w:rFonts w:ascii="宋体" w:hAnsi="宋体" w:eastAsia="宋体" w:cs="宋体"/>
                <w:color w:val="auto"/>
                <w:szCs w:val="21"/>
              </w:rPr>
            </w:pPr>
            <w:r>
              <w:rPr>
                <w:rFonts w:hint="eastAsia" w:ascii="宋体" w:hAnsi="宋体" w:eastAsia="宋体" w:cs="宋体"/>
                <w:color w:val="auto"/>
                <w:szCs w:val="21"/>
              </w:rPr>
              <w:t>5000次/年</w:t>
            </w:r>
          </w:p>
        </w:tc>
      </w:tr>
    </w:tbl>
    <w:p w14:paraId="05CF6FEC">
      <w:pPr>
        <w:pStyle w:val="199"/>
        <w:spacing w:line="360" w:lineRule="auto"/>
        <w:ind w:firstLine="422"/>
        <w:jc w:val="left"/>
        <w:rPr>
          <w:rFonts w:ascii="宋体" w:hAnsi="宋体" w:cs="宋体"/>
          <w:b/>
          <w:color w:val="auto"/>
          <w:szCs w:val="21"/>
        </w:rPr>
      </w:pPr>
      <w:r>
        <w:rPr>
          <w:rFonts w:hint="eastAsia" w:ascii="宋体" w:hAnsi="宋体" w:cs="宋体"/>
          <w:b/>
          <w:color w:val="auto"/>
          <w:szCs w:val="21"/>
        </w:rPr>
        <w:t>二、售后服务要求</w:t>
      </w:r>
    </w:p>
    <w:p w14:paraId="08BF25DF">
      <w:pPr>
        <w:pStyle w:val="199"/>
        <w:spacing w:line="360" w:lineRule="auto"/>
        <w:jc w:val="left"/>
        <w:rPr>
          <w:rFonts w:ascii="宋体" w:hAnsi="宋体" w:cs="宋体"/>
          <w:bCs/>
          <w:color w:val="auto"/>
          <w:szCs w:val="21"/>
        </w:rPr>
      </w:pPr>
      <w:r>
        <w:rPr>
          <w:rFonts w:hint="eastAsia" w:ascii="宋体" w:hAnsi="宋体" w:cs="宋体"/>
          <w:bCs/>
          <w:color w:val="auto"/>
          <w:szCs w:val="21"/>
        </w:rPr>
        <w:t>★1.中标人应提供售后服务承诺书、联系人和联系电话，能够长期提供良好的技术支持。</w:t>
      </w:r>
    </w:p>
    <w:p w14:paraId="6FA27617">
      <w:pPr>
        <w:pStyle w:val="199"/>
        <w:spacing w:line="360" w:lineRule="auto"/>
        <w:jc w:val="left"/>
        <w:rPr>
          <w:rFonts w:ascii="宋体" w:hAnsi="宋体" w:cs="宋体"/>
          <w:bCs/>
          <w:color w:val="auto"/>
          <w:szCs w:val="21"/>
        </w:rPr>
      </w:pPr>
      <w:r>
        <w:rPr>
          <w:rFonts w:hint="eastAsia" w:ascii="宋体" w:hAnsi="宋体" w:cs="宋体"/>
          <w:bCs/>
          <w:color w:val="auto"/>
          <w:szCs w:val="21"/>
        </w:rPr>
        <w:t>★2.服务响应时间要求：提供7×24小时电话响应服务，响应时间为1小时。</w:t>
      </w:r>
    </w:p>
    <w:p w14:paraId="1E565B99">
      <w:pPr>
        <w:pStyle w:val="199"/>
        <w:spacing w:line="360" w:lineRule="auto"/>
        <w:jc w:val="left"/>
        <w:rPr>
          <w:rFonts w:ascii="宋体" w:hAnsi="宋体" w:cs="宋体"/>
          <w:bCs/>
          <w:color w:val="auto"/>
          <w:szCs w:val="21"/>
        </w:rPr>
      </w:pPr>
      <w:r>
        <w:rPr>
          <w:rFonts w:hint="eastAsia" w:ascii="宋体" w:hAnsi="宋体" w:cs="宋体"/>
          <w:bCs/>
          <w:color w:val="auto"/>
          <w:szCs w:val="21"/>
        </w:rPr>
        <w:t>★3.中标人应能提供多种形式的技术支持服务，解决软件出现的技术问题。</w:t>
      </w:r>
    </w:p>
    <w:p w14:paraId="2A718719">
      <w:pPr>
        <w:pStyle w:val="199"/>
        <w:spacing w:line="360" w:lineRule="auto"/>
        <w:jc w:val="left"/>
        <w:rPr>
          <w:rFonts w:ascii="宋体" w:hAnsi="宋体" w:cs="宋体"/>
          <w:bCs/>
          <w:color w:val="auto"/>
          <w:szCs w:val="21"/>
        </w:rPr>
      </w:pPr>
      <w:r>
        <w:rPr>
          <w:rFonts w:hint="eastAsia" w:ascii="宋体" w:hAnsi="宋体" w:cs="宋体"/>
          <w:bCs/>
          <w:color w:val="auto"/>
          <w:szCs w:val="21"/>
        </w:rPr>
        <w:t>★4.投标人应按其投标文件中的承诺，进行其他售后服务工作。</w:t>
      </w:r>
    </w:p>
    <w:p w14:paraId="1E9B0990">
      <w:pPr>
        <w:pStyle w:val="199"/>
        <w:spacing w:line="360" w:lineRule="auto"/>
        <w:ind w:firstLine="422"/>
        <w:jc w:val="left"/>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说明：以上四项（标★项）为实质性要求，投标时提供以上响应承诺函加盖投标人公章（格式自拟），未提供的按未实质性响应处理。</w:t>
      </w:r>
    </w:p>
    <w:p w14:paraId="5C2EA9E0">
      <w:pPr>
        <w:pStyle w:val="199"/>
        <w:spacing w:line="360" w:lineRule="auto"/>
        <w:ind w:firstLine="422"/>
        <w:jc w:val="left"/>
        <w:rPr>
          <w:rFonts w:ascii="宋体" w:hAnsi="宋体" w:cs="宋体"/>
          <w:b/>
          <w:color w:val="auto"/>
          <w:szCs w:val="21"/>
        </w:rPr>
      </w:pPr>
      <w:r>
        <w:rPr>
          <w:rFonts w:hint="eastAsia" w:ascii="宋体" w:hAnsi="宋体" w:cs="宋体"/>
          <w:b/>
          <w:color w:val="auto"/>
          <w:szCs w:val="21"/>
        </w:rPr>
        <w:t>三、验收说明</w:t>
      </w:r>
    </w:p>
    <w:p w14:paraId="0FA09DAA">
      <w:pPr>
        <w:pStyle w:val="199"/>
        <w:spacing w:line="360" w:lineRule="auto"/>
        <w:jc w:val="left"/>
        <w:rPr>
          <w:rFonts w:ascii="宋体" w:hAnsi="宋体" w:cs="宋体"/>
          <w:bCs/>
          <w:color w:val="auto"/>
          <w:szCs w:val="21"/>
        </w:rPr>
      </w:pPr>
      <w:r>
        <w:rPr>
          <w:rFonts w:hint="eastAsia" w:ascii="宋体" w:hAnsi="宋体" w:cs="宋体"/>
          <w:bCs/>
          <w:color w:val="auto"/>
          <w:szCs w:val="21"/>
        </w:rPr>
        <w:t>按照招标文件规定的技术、服务等要求由采购人组织对中标人履约的验收。</w:t>
      </w:r>
    </w:p>
    <w:p w14:paraId="71E4E4E9">
      <w:pPr>
        <w:pStyle w:val="199"/>
        <w:spacing w:line="360" w:lineRule="auto"/>
        <w:ind w:firstLine="422"/>
        <w:jc w:val="left"/>
        <w:rPr>
          <w:rFonts w:ascii="宋体" w:hAnsi="宋体" w:cs="宋体"/>
          <w:b/>
          <w:color w:val="auto"/>
          <w:szCs w:val="21"/>
        </w:rPr>
      </w:pPr>
      <w:r>
        <w:rPr>
          <w:rFonts w:hint="eastAsia" w:ascii="宋体" w:hAnsi="宋体" w:cs="宋体"/>
          <w:b/>
          <w:color w:val="auto"/>
          <w:szCs w:val="21"/>
        </w:rPr>
        <w:t>四、培训要求</w:t>
      </w:r>
    </w:p>
    <w:p w14:paraId="6A8CDC79">
      <w:pPr>
        <w:pStyle w:val="199"/>
        <w:spacing w:line="360" w:lineRule="auto"/>
        <w:jc w:val="left"/>
        <w:rPr>
          <w:rFonts w:ascii="宋体" w:hAnsi="宋体" w:cs="宋体"/>
          <w:bCs/>
          <w:color w:val="auto"/>
          <w:szCs w:val="21"/>
        </w:rPr>
      </w:pPr>
      <w:r>
        <w:rPr>
          <w:rFonts w:hint="eastAsia" w:ascii="宋体" w:hAnsi="宋体" w:cs="宋体"/>
          <w:bCs/>
          <w:color w:val="auto"/>
          <w:szCs w:val="21"/>
        </w:rPr>
        <w:t>★1. 投标人提供免费上门培训，有完善的培训计划，并附详细培训课程。</w:t>
      </w:r>
    </w:p>
    <w:p w14:paraId="1EF609E2">
      <w:pPr>
        <w:pStyle w:val="199"/>
        <w:spacing w:line="360" w:lineRule="auto"/>
        <w:jc w:val="left"/>
        <w:rPr>
          <w:rFonts w:ascii="宋体" w:hAnsi="宋体" w:cs="宋体"/>
          <w:bCs/>
          <w:color w:val="auto"/>
          <w:szCs w:val="21"/>
        </w:rPr>
      </w:pPr>
      <w:r>
        <w:rPr>
          <w:rFonts w:hint="eastAsia" w:ascii="宋体" w:hAnsi="宋体" w:cs="宋体"/>
          <w:bCs/>
          <w:color w:val="auto"/>
          <w:szCs w:val="21"/>
        </w:rPr>
        <w:t>★2. 投标人提供技术资料完善，产品介绍详细，产品功能贴近实战。</w:t>
      </w:r>
    </w:p>
    <w:p w14:paraId="6CA438F1">
      <w:pPr>
        <w:pStyle w:val="199"/>
        <w:spacing w:line="360" w:lineRule="auto"/>
        <w:jc w:val="left"/>
        <w:rPr>
          <w:rFonts w:ascii="宋体" w:hAnsi="宋体" w:cs="宋体"/>
          <w:bCs/>
          <w:color w:val="auto"/>
          <w:szCs w:val="21"/>
        </w:rPr>
      </w:pPr>
      <w:r>
        <w:rPr>
          <w:rFonts w:hint="eastAsia" w:ascii="宋体" w:hAnsi="宋体" w:cs="宋体"/>
          <w:bCs/>
          <w:color w:val="auto"/>
          <w:szCs w:val="21"/>
        </w:rPr>
        <w:t>★3. 售后服务方案具体、详细、合理可行，可操作性强。</w:t>
      </w:r>
    </w:p>
    <w:p w14:paraId="391F430D">
      <w:pPr>
        <w:pStyle w:val="199"/>
        <w:spacing w:line="360" w:lineRule="auto"/>
        <w:ind w:firstLine="422"/>
        <w:jc w:val="left"/>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说明：以上三项（标★项）为实质性要求，投标时提供以上响应服务内容并加盖投标人公章，未提供的按未实质性响应处理。</w:t>
      </w:r>
    </w:p>
    <w:p w14:paraId="7C43D9E1">
      <w:pPr>
        <w:rPr>
          <w:rFonts w:ascii="宋体" w:hAnsi="宋体" w:eastAsia="宋体" w:cs="宋体"/>
          <w:color w:val="auto"/>
          <w:szCs w:val="21"/>
        </w:rPr>
      </w:pPr>
      <w:r>
        <w:rPr>
          <w:rFonts w:hint="eastAsia" w:ascii="宋体" w:hAnsi="宋体" w:eastAsia="宋体" w:cs="宋体"/>
          <w:color w:val="auto"/>
          <w:szCs w:val="21"/>
        </w:rPr>
        <w:br w:type="page" w:clear="all"/>
      </w:r>
    </w:p>
    <w:p w14:paraId="76A7193F">
      <w:pPr>
        <w:spacing w:line="360" w:lineRule="auto"/>
        <w:jc w:val="center"/>
        <w:rPr>
          <w:rFonts w:ascii="宋体" w:hAnsi="宋体" w:eastAsia="宋体" w:cs="宋体"/>
          <w:color w:val="auto"/>
          <w:szCs w:val="21"/>
        </w:rPr>
      </w:pPr>
      <w:r>
        <w:rPr>
          <w:rFonts w:hint="eastAsia" w:ascii="宋体" w:hAnsi="宋体" w:eastAsia="宋体" w:cs="宋体"/>
          <w:b/>
          <w:color w:val="auto"/>
          <w:szCs w:val="21"/>
        </w:rPr>
        <w:t>采购3包：大数据辅助分析系统查询服务</w:t>
      </w:r>
    </w:p>
    <w:p w14:paraId="1CE079A8">
      <w:pPr>
        <w:spacing w:line="360" w:lineRule="auto"/>
        <w:ind w:firstLine="420"/>
        <w:jc w:val="left"/>
        <w:rPr>
          <w:rFonts w:ascii="宋体" w:hAnsi="宋体" w:eastAsia="宋体" w:cs="宋体"/>
          <w:color w:val="auto"/>
          <w:szCs w:val="21"/>
          <w:shd w:val="clear" w:color="auto" w:fill="FFFFFF"/>
        </w:rPr>
      </w:pPr>
      <w:bookmarkStart w:id="187" w:name="_Toc67066559"/>
      <w:r>
        <w:rPr>
          <w:rFonts w:hint="eastAsia" w:ascii="宋体" w:hAnsi="宋体" w:eastAsia="宋体" w:cs="宋体"/>
          <w:color w:val="auto"/>
          <w:szCs w:val="21"/>
          <w:shd w:val="clear" w:color="auto" w:fill="FFFFFF"/>
        </w:rPr>
        <w:t>当前公安机关侦查部门面临大量涉电信、网络新形犯罪，侦查手段和技术不断翻新和升级，随着互联网的深度发展应用，大数据分析研判成为侦查部门打击罪犯的一个重要手段，掌握的大数据信息越多，侦查的手段越强，效率越高。为进一步提升案件侦破研判能力，提升对人员画像刻画和科学预判能力，切实做到来知行踪、动知去向，更好的服务警务实战拟充分应用基于互联网的大数据服务，通过采购外部数据接入服务----类似“云镜”、“云脉</w:t>
      </w:r>
      <w:r>
        <w:rPr>
          <w:rFonts w:ascii="宋体" w:hAnsi="宋体" w:eastAsia="宋体" w:cs="宋体"/>
          <w:color w:val="auto"/>
          <w:szCs w:val="21"/>
          <w:shd w:val="clear" w:color="auto" w:fill="FFFFFF"/>
        </w:rPr>
        <w:t>”</w:t>
      </w:r>
      <w:r>
        <w:rPr>
          <w:rFonts w:hint="eastAsia" w:ascii="宋体" w:hAnsi="宋体" w:eastAsia="宋体" w:cs="宋体"/>
          <w:color w:val="auto"/>
          <w:szCs w:val="21"/>
          <w:shd w:val="clear" w:color="auto" w:fill="FFFFFF"/>
        </w:rPr>
        <w:t>系统数据服务，整合社会、企业的大数据资源，快速有效辅助解决当前公安警务实战工作中的一些难点。</w:t>
      </w:r>
    </w:p>
    <w:p w14:paraId="6BCC1F72">
      <w:pPr>
        <w:numPr>
          <w:ilvl w:val="0"/>
          <w:numId w:val="7"/>
        </w:numPr>
        <w:spacing w:line="360" w:lineRule="auto"/>
        <w:ind w:left="372" w:firstLine="46"/>
        <w:jc w:val="left"/>
        <w:rPr>
          <w:rFonts w:ascii="宋体" w:hAnsi="宋体" w:eastAsia="宋体" w:cs="宋体"/>
          <w:color w:val="auto"/>
          <w:szCs w:val="21"/>
        </w:rPr>
      </w:pPr>
      <w:r>
        <w:rPr>
          <w:rFonts w:hint="eastAsia" w:ascii="宋体" w:hAnsi="宋体" w:eastAsia="宋体" w:cs="宋体"/>
          <w:color w:val="auto"/>
          <w:szCs w:val="21"/>
        </w:rPr>
        <w:t>功能参数及主要商务条款</w:t>
      </w:r>
      <w:bookmarkEnd w:id="187"/>
    </w:p>
    <w:p w14:paraId="2BC75193">
      <w:pPr>
        <w:spacing w:line="360" w:lineRule="auto"/>
        <w:ind w:firstLine="420"/>
        <w:jc w:val="left"/>
        <w:rPr>
          <w:rFonts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如有需要具体功能详细说明，请与采购联系人联系，服务期1年。</w:t>
      </w:r>
    </w:p>
    <w:tbl>
      <w:tblPr>
        <w:tblStyle w:val="36"/>
        <w:tblW w:w="49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0"/>
        <w:gridCol w:w="1257"/>
        <w:gridCol w:w="2380"/>
        <w:gridCol w:w="1778"/>
        <w:gridCol w:w="2486"/>
      </w:tblGrid>
      <w:tr w14:paraId="1CAEE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tcBorders>
              <w:top w:val="single" w:color="auto" w:sz="4" w:space="0"/>
            </w:tcBorders>
            <w:noWrap w:val="0"/>
            <w:vAlign w:val="center"/>
          </w:tcPr>
          <w:p w14:paraId="3CEDEB58">
            <w:pPr>
              <w:widowControl/>
              <w:spacing w:line="400" w:lineRule="exact"/>
              <w:jc w:val="center"/>
              <w:rPr>
                <w:rFonts w:ascii="宋体" w:hAnsi="宋体" w:eastAsia="宋体" w:cs="宋体"/>
                <w:color w:val="auto"/>
                <w:szCs w:val="21"/>
              </w:rPr>
            </w:pPr>
            <w:bookmarkStart w:id="188" w:name="_Hlk101339933"/>
            <w:r>
              <w:rPr>
                <w:rFonts w:hint="eastAsia" w:ascii="宋体" w:hAnsi="宋体" w:eastAsia="宋体" w:cs="宋体"/>
                <w:color w:val="auto"/>
                <w:szCs w:val="21"/>
              </w:rPr>
              <w:t>序号</w:t>
            </w:r>
          </w:p>
        </w:tc>
        <w:tc>
          <w:tcPr>
            <w:tcW w:w="1372" w:type="dxa"/>
            <w:tcBorders>
              <w:top w:val="single" w:color="auto" w:sz="4" w:space="0"/>
            </w:tcBorders>
            <w:noWrap w:val="0"/>
            <w:vAlign w:val="center"/>
          </w:tcPr>
          <w:p w14:paraId="33D76272">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产品</w:t>
            </w:r>
          </w:p>
        </w:tc>
        <w:tc>
          <w:tcPr>
            <w:tcW w:w="2622" w:type="dxa"/>
            <w:tcBorders>
              <w:top w:val="single" w:color="auto" w:sz="4" w:space="0"/>
            </w:tcBorders>
            <w:noWrap w:val="0"/>
            <w:vAlign w:val="center"/>
          </w:tcPr>
          <w:p w14:paraId="2BA8B0F5">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功能</w:t>
            </w:r>
          </w:p>
        </w:tc>
        <w:tc>
          <w:tcPr>
            <w:tcW w:w="1937" w:type="dxa"/>
            <w:tcBorders>
              <w:top w:val="single" w:color="auto" w:sz="4" w:space="0"/>
            </w:tcBorders>
            <w:noWrap w:val="0"/>
            <w:vAlign w:val="center"/>
          </w:tcPr>
          <w:p w14:paraId="35C18074">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最大许可数(个)</w:t>
            </w:r>
          </w:p>
        </w:tc>
        <w:tc>
          <w:tcPr>
            <w:tcW w:w="2714" w:type="dxa"/>
            <w:tcBorders>
              <w:top w:val="single" w:color="auto" w:sz="4" w:space="0"/>
            </w:tcBorders>
            <w:noWrap w:val="0"/>
            <w:vAlign w:val="center"/>
          </w:tcPr>
          <w:p w14:paraId="1344C3EE">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最大服务次数(次/年)/账号</w:t>
            </w:r>
          </w:p>
        </w:tc>
      </w:tr>
      <w:tr w14:paraId="37900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noWrap w:val="0"/>
          </w:tcPr>
          <w:p w14:paraId="6B33EA74">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w:t>
            </w:r>
          </w:p>
        </w:tc>
        <w:tc>
          <w:tcPr>
            <w:tcW w:w="1372" w:type="dxa"/>
            <w:vMerge w:val="restart"/>
            <w:noWrap w:val="0"/>
            <w:vAlign w:val="center"/>
          </w:tcPr>
          <w:p w14:paraId="0B7E08C4">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类似</w:t>
            </w:r>
          </w:p>
          <w:p w14:paraId="209EF1A4">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云镜</w:t>
            </w:r>
          </w:p>
          <w:p w14:paraId="09B4D03D">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系统</w:t>
            </w:r>
          </w:p>
        </w:tc>
        <w:tc>
          <w:tcPr>
            <w:tcW w:w="2622" w:type="dxa"/>
            <w:noWrap w:val="0"/>
          </w:tcPr>
          <w:p w14:paraId="6D7477A1">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特征码信息</w:t>
            </w:r>
          </w:p>
        </w:tc>
        <w:tc>
          <w:tcPr>
            <w:tcW w:w="1937" w:type="dxa"/>
            <w:noWrap w:val="0"/>
          </w:tcPr>
          <w:p w14:paraId="0B7A542F">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noWrap w:val="0"/>
            <w:vAlign w:val="center"/>
          </w:tcPr>
          <w:p w14:paraId="61505043">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20000</w:t>
            </w:r>
          </w:p>
        </w:tc>
      </w:tr>
      <w:tr w14:paraId="571C6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noWrap w:val="0"/>
          </w:tcPr>
          <w:p w14:paraId="0D86840A">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2</w:t>
            </w:r>
          </w:p>
        </w:tc>
        <w:tc>
          <w:tcPr>
            <w:tcW w:w="1372" w:type="dxa"/>
            <w:vMerge w:val="continue"/>
            <w:noWrap w:val="0"/>
          </w:tcPr>
          <w:p w14:paraId="47AF9450">
            <w:pPr>
              <w:widowControl/>
              <w:spacing w:line="400" w:lineRule="exact"/>
              <w:jc w:val="center"/>
              <w:rPr>
                <w:rFonts w:ascii="宋体" w:hAnsi="宋体" w:eastAsia="宋体" w:cs="宋体"/>
                <w:color w:val="auto"/>
                <w:szCs w:val="21"/>
              </w:rPr>
            </w:pPr>
          </w:p>
        </w:tc>
        <w:tc>
          <w:tcPr>
            <w:tcW w:w="2622" w:type="dxa"/>
            <w:noWrap w:val="0"/>
          </w:tcPr>
          <w:p w14:paraId="4974ACC4">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画像推测</w:t>
            </w:r>
          </w:p>
        </w:tc>
        <w:tc>
          <w:tcPr>
            <w:tcW w:w="1937" w:type="dxa"/>
            <w:noWrap w:val="0"/>
          </w:tcPr>
          <w:p w14:paraId="358CEE7E">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noWrap w:val="0"/>
            <w:vAlign w:val="center"/>
          </w:tcPr>
          <w:p w14:paraId="0579D4E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20000</w:t>
            </w:r>
          </w:p>
        </w:tc>
      </w:tr>
      <w:tr w14:paraId="5F044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noWrap w:val="0"/>
          </w:tcPr>
          <w:p w14:paraId="218B94B0">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1372" w:type="dxa"/>
            <w:vMerge w:val="continue"/>
            <w:noWrap w:val="0"/>
          </w:tcPr>
          <w:p w14:paraId="5F1C129D">
            <w:pPr>
              <w:widowControl/>
              <w:spacing w:line="400" w:lineRule="exact"/>
              <w:jc w:val="center"/>
              <w:rPr>
                <w:rFonts w:ascii="宋体" w:hAnsi="宋体" w:eastAsia="宋体" w:cs="宋体"/>
                <w:color w:val="auto"/>
                <w:szCs w:val="21"/>
              </w:rPr>
            </w:pPr>
          </w:p>
        </w:tc>
        <w:tc>
          <w:tcPr>
            <w:tcW w:w="2622" w:type="dxa"/>
            <w:noWrap w:val="0"/>
          </w:tcPr>
          <w:p w14:paraId="6DEF43B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线上行为</w:t>
            </w:r>
          </w:p>
        </w:tc>
        <w:tc>
          <w:tcPr>
            <w:tcW w:w="1937" w:type="dxa"/>
            <w:noWrap w:val="0"/>
          </w:tcPr>
          <w:p w14:paraId="4359DA4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noWrap w:val="0"/>
            <w:vAlign w:val="center"/>
          </w:tcPr>
          <w:p w14:paraId="73C8C808">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20000</w:t>
            </w:r>
          </w:p>
        </w:tc>
      </w:tr>
      <w:tr w14:paraId="0E6BA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noWrap w:val="0"/>
          </w:tcPr>
          <w:p w14:paraId="77B89568">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4</w:t>
            </w:r>
          </w:p>
        </w:tc>
        <w:tc>
          <w:tcPr>
            <w:tcW w:w="1372" w:type="dxa"/>
            <w:vMerge w:val="continue"/>
            <w:noWrap w:val="0"/>
          </w:tcPr>
          <w:p w14:paraId="51164D72">
            <w:pPr>
              <w:widowControl/>
              <w:spacing w:line="400" w:lineRule="exact"/>
              <w:jc w:val="center"/>
              <w:rPr>
                <w:rFonts w:ascii="宋体" w:hAnsi="宋体" w:eastAsia="宋体" w:cs="宋体"/>
                <w:color w:val="auto"/>
                <w:szCs w:val="21"/>
              </w:rPr>
            </w:pPr>
          </w:p>
        </w:tc>
        <w:tc>
          <w:tcPr>
            <w:tcW w:w="2622" w:type="dxa"/>
            <w:noWrap w:val="0"/>
          </w:tcPr>
          <w:p w14:paraId="52FBF8BF">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常连WiFi</w:t>
            </w:r>
          </w:p>
        </w:tc>
        <w:tc>
          <w:tcPr>
            <w:tcW w:w="1937" w:type="dxa"/>
            <w:noWrap w:val="0"/>
          </w:tcPr>
          <w:p w14:paraId="2137E949">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noWrap w:val="0"/>
            <w:vAlign w:val="center"/>
          </w:tcPr>
          <w:p w14:paraId="7FBADF0D">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20000</w:t>
            </w:r>
          </w:p>
        </w:tc>
      </w:tr>
      <w:tr w14:paraId="28714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noWrap w:val="0"/>
          </w:tcPr>
          <w:p w14:paraId="4544AAB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5</w:t>
            </w:r>
          </w:p>
        </w:tc>
        <w:tc>
          <w:tcPr>
            <w:tcW w:w="1372" w:type="dxa"/>
            <w:vMerge w:val="continue"/>
            <w:noWrap w:val="0"/>
          </w:tcPr>
          <w:p w14:paraId="6AEAEC2A">
            <w:pPr>
              <w:widowControl/>
              <w:spacing w:line="400" w:lineRule="exact"/>
              <w:jc w:val="center"/>
              <w:rPr>
                <w:rFonts w:ascii="宋体" w:hAnsi="宋体" w:eastAsia="宋体" w:cs="宋体"/>
                <w:color w:val="auto"/>
                <w:szCs w:val="21"/>
              </w:rPr>
            </w:pPr>
          </w:p>
        </w:tc>
        <w:tc>
          <w:tcPr>
            <w:tcW w:w="2622" w:type="dxa"/>
            <w:noWrap w:val="0"/>
          </w:tcPr>
          <w:p w14:paraId="207E82D7">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关系图谱</w:t>
            </w:r>
          </w:p>
        </w:tc>
        <w:tc>
          <w:tcPr>
            <w:tcW w:w="1937" w:type="dxa"/>
            <w:noWrap w:val="0"/>
          </w:tcPr>
          <w:p w14:paraId="68E47955">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noWrap w:val="0"/>
            <w:vAlign w:val="center"/>
          </w:tcPr>
          <w:p w14:paraId="423328B6">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20000</w:t>
            </w:r>
          </w:p>
        </w:tc>
      </w:tr>
      <w:tr w14:paraId="0228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noWrap w:val="0"/>
          </w:tcPr>
          <w:p w14:paraId="7CDB8B9A">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6</w:t>
            </w:r>
          </w:p>
        </w:tc>
        <w:tc>
          <w:tcPr>
            <w:tcW w:w="1372" w:type="dxa"/>
            <w:vMerge w:val="continue"/>
            <w:noWrap w:val="0"/>
          </w:tcPr>
          <w:p w14:paraId="498477D7">
            <w:pPr>
              <w:widowControl/>
              <w:spacing w:line="400" w:lineRule="exact"/>
              <w:jc w:val="center"/>
              <w:rPr>
                <w:rFonts w:ascii="宋体" w:hAnsi="宋体" w:eastAsia="宋体" w:cs="宋体"/>
                <w:color w:val="auto"/>
                <w:szCs w:val="21"/>
              </w:rPr>
            </w:pPr>
          </w:p>
        </w:tc>
        <w:tc>
          <w:tcPr>
            <w:tcW w:w="2622" w:type="dxa"/>
            <w:noWrap w:val="0"/>
          </w:tcPr>
          <w:p w14:paraId="5FA6057E">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扫描WiFi</w:t>
            </w:r>
          </w:p>
        </w:tc>
        <w:tc>
          <w:tcPr>
            <w:tcW w:w="1937" w:type="dxa"/>
            <w:noWrap w:val="0"/>
          </w:tcPr>
          <w:p w14:paraId="32F5A178">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noWrap w:val="0"/>
            <w:vAlign w:val="center"/>
          </w:tcPr>
          <w:p w14:paraId="4505E7F5">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20000</w:t>
            </w:r>
          </w:p>
        </w:tc>
      </w:tr>
      <w:tr w14:paraId="180DD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noWrap w:val="0"/>
          </w:tcPr>
          <w:p w14:paraId="66A35DA5">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1372" w:type="dxa"/>
            <w:vMerge w:val="continue"/>
            <w:noWrap w:val="0"/>
          </w:tcPr>
          <w:p w14:paraId="7B879956">
            <w:pPr>
              <w:widowControl/>
              <w:spacing w:line="400" w:lineRule="exact"/>
              <w:jc w:val="center"/>
              <w:rPr>
                <w:rFonts w:ascii="宋体" w:hAnsi="宋体" w:eastAsia="宋体" w:cs="宋体"/>
                <w:color w:val="auto"/>
                <w:szCs w:val="21"/>
              </w:rPr>
            </w:pPr>
          </w:p>
        </w:tc>
        <w:tc>
          <w:tcPr>
            <w:tcW w:w="2622" w:type="dxa"/>
            <w:noWrap w:val="0"/>
          </w:tcPr>
          <w:p w14:paraId="4048988C">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历史IP</w:t>
            </w:r>
          </w:p>
        </w:tc>
        <w:tc>
          <w:tcPr>
            <w:tcW w:w="1937" w:type="dxa"/>
            <w:noWrap w:val="0"/>
          </w:tcPr>
          <w:p w14:paraId="5C292D7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noWrap w:val="0"/>
            <w:vAlign w:val="center"/>
          </w:tcPr>
          <w:p w14:paraId="43B0308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20000</w:t>
            </w:r>
          </w:p>
        </w:tc>
      </w:tr>
      <w:tr w14:paraId="6E9A5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noWrap w:val="0"/>
          </w:tcPr>
          <w:p w14:paraId="655A45E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8</w:t>
            </w:r>
          </w:p>
        </w:tc>
        <w:tc>
          <w:tcPr>
            <w:tcW w:w="1372" w:type="dxa"/>
            <w:vMerge w:val="continue"/>
            <w:noWrap w:val="0"/>
          </w:tcPr>
          <w:p w14:paraId="76165591">
            <w:pPr>
              <w:widowControl/>
              <w:spacing w:line="400" w:lineRule="exact"/>
              <w:jc w:val="center"/>
              <w:rPr>
                <w:rFonts w:ascii="宋体" w:hAnsi="宋体" w:eastAsia="宋体" w:cs="宋体"/>
                <w:color w:val="auto"/>
                <w:szCs w:val="21"/>
              </w:rPr>
            </w:pPr>
          </w:p>
        </w:tc>
        <w:tc>
          <w:tcPr>
            <w:tcW w:w="2622" w:type="dxa"/>
            <w:noWrap w:val="0"/>
          </w:tcPr>
          <w:p w14:paraId="7303A472">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点位管理</w:t>
            </w:r>
          </w:p>
        </w:tc>
        <w:tc>
          <w:tcPr>
            <w:tcW w:w="1937" w:type="dxa"/>
            <w:noWrap w:val="0"/>
          </w:tcPr>
          <w:p w14:paraId="0DC4B56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noWrap w:val="0"/>
            <w:vAlign w:val="center"/>
          </w:tcPr>
          <w:p w14:paraId="75BB4EF0">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20000</w:t>
            </w:r>
          </w:p>
        </w:tc>
      </w:tr>
      <w:tr w14:paraId="40241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noWrap w:val="0"/>
          </w:tcPr>
          <w:p w14:paraId="24A7A3A7">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9</w:t>
            </w:r>
          </w:p>
        </w:tc>
        <w:tc>
          <w:tcPr>
            <w:tcW w:w="1372" w:type="dxa"/>
            <w:vMerge w:val="continue"/>
            <w:noWrap w:val="0"/>
          </w:tcPr>
          <w:p w14:paraId="64823972">
            <w:pPr>
              <w:widowControl/>
              <w:spacing w:line="400" w:lineRule="exact"/>
              <w:jc w:val="center"/>
              <w:rPr>
                <w:rFonts w:ascii="宋体" w:hAnsi="宋体" w:eastAsia="宋体" w:cs="宋体"/>
                <w:color w:val="auto"/>
                <w:szCs w:val="21"/>
              </w:rPr>
            </w:pPr>
          </w:p>
        </w:tc>
        <w:tc>
          <w:tcPr>
            <w:tcW w:w="2622" w:type="dxa"/>
            <w:noWrap w:val="0"/>
          </w:tcPr>
          <w:p w14:paraId="1A9051A1">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点位分析</w:t>
            </w:r>
          </w:p>
        </w:tc>
        <w:tc>
          <w:tcPr>
            <w:tcW w:w="1937" w:type="dxa"/>
            <w:noWrap w:val="0"/>
          </w:tcPr>
          <w:p w14:paraId="4CE61394">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noWrap w:val="0"/>
            <w:vAlign w:val="center"/>
          </w:tcPr>
          <w:p w14:paraId="4C693CF1">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20000</w:t>
            </w:r>
          </w:p>
        </w:tc>
      </w:tr>
      <w:tr w14:paraId="3B293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tcBorders>
              <w:top w:val="single" w:color="auto" w:sz="4" w:space="0"/>
            </w:tcBorders>
            <w:noWrap w:val="0"/>
          </w:tcPr>
          <w:p w14:paraId="7135D498">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10</w:t>
            </w:r>
          </w:p>
        </w:tc>
        <w:tc>
          <w:tcPr>
            <w:tcW w:w="1372" w:type="dxa"/>
            <w:vMerge w:val="continue"/>
            <w:noWrap w:val="0"/>
          </w:tcPr>
          <w:p w14:paraId="1D38E86B">
            <w:pPr>
              <w:widowControl/>
              <w:spacing w:line="400" w:lineRule="exact"/>
              <w:jc w:val="center"/>
              <w:rPr>
                <w:rFonts w:ascii="宋体" w:hAnsi="宋体" w:eastAsia="宋体" w:cs="宋体"/>
                <w:color w:val="auto"/>
                <w:szCs w:val="21"/>
              </w:rPr>
            </w:pPr>
          </w:p>
        </w:tc>
        <w:tc>
          <w:tcPr>
            <w:tcW w:w="2622" w:type="dxa"/>
            <w:tcBorders>
              <w:top w:val="single" w:color="auto" w:sz="4" w:space="0"/>
            </w:tcBorders>
            <w:noWrap w:val="0"/>
          </w:tcPr>
          <w:p w14:paraId="01CF0A22">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关联JZ</w:t>
            </w:r>
          </w:p>
        </w:tc>
        <w:tc>
          <w:tcPr>
            <w:tcW w:w="1937" w:type="dxa"/>
            <w:tcBorders>
              <w:top w:val="single" w:color="auto" w:sz="4" w:space="0"/>
            </w:tcBorders>
            <w:noWrap w:val="0"/>
          </w:tcPr>
          <w:p w14:paraId="2DE3ADAC">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tcBorders>
              <w:top w:val="single" w:color="auto" w:sz="4" w:space="0"/>
            </w:tcBorders>
            <w:noWrap w:val="0"/>
            <w:vAlign w:val="center"/>
          </w:tcPr>
          <w:p w14:paraId="387A0EC6">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20000</w:t>
            </w:r>
          </w:p>
        </w:tc>
      </w:tr>
      <w:tr w14:paraId="69392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noWrap w:val="0"/>
          </w:tcPr>
          <w:p w14:paraId="38038623">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11</w:t>
            </w:r>
          </w:p>
        </w:tc>
        <w:tc>
          <w:tcPr>
            <w:tcW w:w="1372" w:type="dxa"/>
            <w:vMerge w:val="continue"/>
            <w:noWrap w:val="0"/>
          </w:tcPr>
          <w:p w14:paraId="11F9F052">
            <w:pPr>
              <w:widowControl/>
              <w:spacing w:line="400" w:lineRule="exact"/>
              <w:jc w:val="center"/>
              <w:rPr>
                <w:rFonts w:ascii="宋体" w:hAnsi="宋体" w:eastAsia="宋体" w:cs="宋体"/>
                <w:color w:val="auto"/>
                <w:szCs w:val="21"/>
              </w:rPr>
            </w:pPr>
          </w:p>
        </w:tc>
        <w:tc>
          <w:tcPr>
            <w:tcW w:w="2622" w:type="dxa"/>
            <w:noWrap w:val="0"/>
          </w:tcPr>
          <w:p w14:paraId="483B1C84">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WiFi画像</w:t>
            </w:r>
          </w:p>
        </w:tc>
        <w:tc>
          <w:tcPr>
            <w:tcW w:w="1937" w:type="dxa"/>
            <w:noWrap w:val="0"/>
          </w:tcPr>
          <w:p w14:paraId="66991861">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noWrap w:val="0"/>
            <w:vAlign w:val="center"/>
          </w:tcPr>
          <w:p w14:paraId="73D03BA0">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6000</w:t>
            </w:r>
          </w:p>
        </w:tc>
      </w:tr>
      <w:tr w14:paraId="59B17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noWrap w:val="0"/>
          </w:tcPr>
          <w:p w14:paraId="034C27C1">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12</w:t>
            </w:r>
          </w:p>
        </w:tc>
        <w:tc>
          <w:tcPr>
            <w:tcW w:w="1372" w:type="dxa"/>
            <w:vMerge w:val="continue"/>
            <w:noWrap w:val="0"/>
          </w:tcPr>
          <w:p w14:paraId="39178646">
            <w:pPr>
              <w:widowControl/>
              <w:spacing w:line="400" w:lineRule="exact"/>
              <w:jc w:val="center"/>
              <w:rPr>
                <w:rFonts w:ascii="宋体" w:hAnsi="宋体" w:eastAsia="宋体" w:cs="宋体"/>
                <w:color w:val="auto"/>
                <w:szCs w:val="21"/>
              </w:rPr>
            </w:pPr>
          </w:p>
        </w:tc>
        <w:tc>
          <w:tcPr>
            <w:tcW w:w="2622" w:type="dxa"/>
            <w:noWrap w:val="0"/>
          </w:tcPr>
          <w:p w14:paraId="4BBB4868">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JZ画像</w:t>
            </w:r>
          </w:p>
        </w:tc>
        <w:tc>
          <w:tcPr>
            <w:tcW w:w="1937" w:type="dxa"/>
            <w:noWrap w:val="0"/>
          </w:tcPr>
          <w:p w14:paraId="3CE8D107">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noWrap w:val="0"/>
            <w:vAlign w:val="center"/>
          </w:tcPr>
          <w:p w14:paraId="6157A200">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600</w:t>
            </w:r>
          </w:p>
        </w:tc>
      </w:tr>
      <w:tr w14:paraId="40552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noWrap w:val="0"/>
          </w:tcPr>
          <w:p w14:paraId="58E75123">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13</w:t>
            </w:r>
          </w:p>
        </w:tc>
        <w:tc>
          <w:tcPr>
            <w:tcW w:w="1372" w:type="dxa"/>
            <w:vMerge w:val="continue"/>
            <w:noWrap w:val="0"/>
          </w:tcPr>
          <w:p w14:paraId="05C75031">
            <w:pPr>
              <w:widowControl/>
              <w:spacing w:line="400" w:lineRule="exact"/>
              <w:jc w:val="center"/>
              <w:rPr>
                <w:rFonts w:ascii="宋体" w:hAnsi="宋体" w:eastAsia="宋体" w:cs="宋体"/>
                <w:color w:val="auto"/>
                <w:szCs w:val="21"/>
              </w:rPr>
            </w:pPr>
          </w:p>
        </w:tc>
        <w:tc>
          <w:tcPr>
            <w:tcW w:w="2622" w:type="dxa"/>
            <w:noWrap w:val="0"/>
          </w:tcPr>
          <w:p w14:paraId="509BF597">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时空碰撞</w:t>
            </w:r>
          </w:p>
        </w:tc>
        <w:tc>
          <w:tcPr>
            <w:tcW w:w="1937" w:type="dxa"/>
            <w:noWrap w:val="0"/>
          </w:tcPr>
          <w:p w14:paraId="34394243">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noWrap w:val="0"/>
            <w:vAlign w:val="center"/>
          </w:tcPr>
          <w:p w14:paraId="2EF0FCB2">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400</w:t>
            </w:r>
          </w:p>
        </w:tc>
      </w:tr>
      <w:tr w14:paraId="4CEF6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noWrap w:val="0"/>
          </w:tcPr>
          <w:p w14:paraId="2DD27075">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14</w:t>
            </w:r>
          </w:p>
        </w:tc>
        <w:tc>
          <w:tcPr>
            <w:tcW w:w="1372" w:type="dxa"/>
            <w:vMerge w:val="continue"/>
            <w:noWrap w:val="0"/>
          </w:tcPr>
          <w:p w14:paraId="01F898DE">
            <w:pPr>
              <w:widowControl/>
              <w:spacing w:line="400" w:lineRule="exact"/>
              <w:jc w:val="center"/>
              <w:rPr>
                <w:rFonts w:ascii="宋体" w:hAnsi="宋体" w:eastAsia="宋体" w:cs="宋体"/>
                <w:color w:val="auto"/>
                <w:szCs w:val="21"/>
              </w:rPr>
            </w:pPr>
          </w:p>
        </w:tc>
        <w:tc>
          <w:tcPr>
            <w:tcW w:w="2622" w:type="dxa"/>
            <w:noWrap w:val="0"/>
          </w:tcPr>
          <w:p w14:paraId="56BECAE4">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WL提数</w:t>
            </w:r>
          </w:p>
        </w:tc>
        <w:tc>
          <w:tcPr>
            <w:tcW w:w="1937" w:type="dxa"/>
            <w:noWrap w:val="0"/>
          </w:tcPr>
          <w:p w14:paraId="6549DE1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noWrap w:val="0"/>
            <w:vAlign w:val="center"/>
          </w:tcPr>
          <w:p w14:paraId="44DED614">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400</w:t>
            </w:r>
          </w:p>
        </w:tc>
      </w:tr>
      <w:tr w14:paraId="009C6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noWrap w:val="0"/>
          </w:tcPr>
          <w:p w14:paraId="4530F14D">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15</w:t>
            </w:r>
          </w:p>
        </w:tc>
        <w:tc>
          <w:tcPr>
            <w:tcW w:w="1372" w:type="dxa"/>
            <w:vMerge w:val="continue"/>
            <w:noWrap w:val="0"/>
          </w:tcPr>
          <w:p w14:paraId="43AB6E64">
            <w:pPr>
              <w:widowControl/>
              <w:spacing w:line="400" w:lineRule="exact"/>
              <w:jc w:val="center"/>
              <w:rPr>
                <w:rFonts w:ascii="宋体" w:hAnsi="宋体" w:eastAsia="宋体" w:cs="宋体"/>
                <w:color w:val="auto"/>
                <w:szCs w:val="21"/>
              </w:rPr>
            </w:pPr>
          </w:p>
        </w:tc>
        <w:tc>
          <w:tcPr>
            <w:tcW w:w="2622" w:type="dxa"/>
            <w:noWrap w:val="0"/>
          </w:tcPr>
          <w:p w14:paraId="3F104B68">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JZ提数</w:t>
            </w:r>
          </w:p>
        </w:tc>
        <w:tc>
          <w:tcPr>
            <w:tcW w:w="1937" w:type="dxa"/>
            <w:noWrap w:val="0"/>
          </w:tcPr>
          <w:p w14:paraId="195D47B5">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noWrap w:val="0"/>
            <w:vAlign w:val="center"/>
          </w:tcPr>
          <w:p w14:paraId="6A24FF32">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6000</w:t>
            </w:r>
          </w:p>
        </w:tc>
      </w:tr>
      <w:tr w14:paraId="6A674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noWrap w:val="0"/>
          </w:tcPr>
          <w:p w14:paraId="09F83C3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16</w:t>
            </w:r>
          </w:p>
        </w:tc>
        <w:tc>
          <w:tcPr>
            <w:tcW w:w="1372" w:type="dxa"/>
            <w:vMerge w:val="continue"/>
            <w:noWrap w:val="0"/>
          </w:tcPr>
          <w:p w14:paraId="285217F5">
            <w:pPr>
              <w:widowControl/>
              <w:spacing w:line="400" w:lineRule="exact"/>
              <w:jc w:val="center"/>
              <w:rPr>
                <w:rFonts w:ascii="宋体" w:hAnsi="宋体" w:eastAsia="宋体" w:cs="宋体"/>
                <w:color w:val="auto"/>
                <w:szCs w:val="21"/>
              </w:rPr>
            </w:pPr>
          </w:p>
        </w:tc>
        <w:tc>
          <w:tcPr>
            <w:tcW w:w="2622" w:type="dxa"/>
            <w:noWrap w:val="0"/>
          </w:tcPr>
          <w:p w14:paraId="17173774">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点位订阅</w:t>
            </w:r>
          </w:p>
        </w:tc>
        <w:tc>
          <w:tcPr>
            <w:tcW w:w="1937" w:type="dxa"/>
            <w:noWrap w:val="0"/>
          </w:tcPr>
          <w:p w14:paraId="103A75C2">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noWrap w:val="0"/>
            <w:vAlign w:val="center"/>
          </w:tcPr>
          <w:p w14:paraId="0E5FA962">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100（个）</w:t>
            </w:r>
          </w:p>
        </w:tc>
      </w:tr>
      <w:tr w14:paraId="33397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noWrap w:val="0"/>
          </w:tcPr>
          <w:p w14:paraId="10E877A9">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17</w:t>
            </w:r>
          </w:p>
        </w:tc>
        <w:tc>
          <w:tcPr>
            <w:tcW w:w="1372" w:type="dxa"/>
            <w:vMerge w:val="continue"/>
            <w:noWrap w:val="0"/>
          </w:tcPr>
          <w:p w14:paraId="1D12D600">
            <w:pPr>
              <w:widowControl/>
              <w:spacing w:line="400" w:lineRule="exact"/>
              <w:jc w:val="center"/>
              <w:rPr>
                <w:rFonts w:ascii="宋体" w:hAnsi="宋体" w:eastAsia="宋体" w:cs="宋体"/>
                <w:color w:val="auto"/>
                <w:szCs w:val="21"/>
              </w:rPr>
            </w:pPr>
          </w:p>
        </w:tc>
        <w:tc>
          <w:tcPr>
            <w:tcW w:w="2622" w:type="dxa"/>
            <w:noWrap w:val="0"/>
          </w:tcPr>
          <w:p w14:paraId="4C6D1671">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YJ上报</w:t>
            </w:r>
          </w:p>
        </w:tc>
        <w:tc>
          <w:tcPr>
            <w:tcW w:w="1937" w:type="dxa"/>
            <w:noWrap w:val="0"/>
          </w:tcPr>
          <w:p w14:paraId="36DCEA6F">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noWrap w:val="0"/>
            <w:vAlign w:val="center"/>
          </w:tcPr>
          <w:p w14:paraId="7E7AC07E">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400</w:t>
            </w:r>
          </w:p>
        </w:tc>
      </w:tr>
      <w:tr w14:paraId="6D778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noWrap w:val="0"/>
          </w:tcPr>
          <w:p w14:paraId="605A8296">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18</w:t>
            </w:r>
          </w:p>
        </w:tc>
        <w:tc>
          <w:tcPr>
            <w:tcW w:w="1372" w:type="dxa"/>
            <w:vMerge w:val="continue"/>
            <w:noWrap w:val="0"/>
          </w:tcPr>
          <w:p w14:paraId="294F609B">
            <w:pPr>
              <w:widowControl/>
              <w:spacing w:line="400" w:lineRule="exact"/>
              <w:jc w:val="center"/>
              <w:rPr>
                <w:rFonts w:ascii="宋体" w:hAnsi="宋体" w:eastAsia="宋体" w:cs="宋体"/>
                <w:color w:val="auto"/>
                <w:szCs w:val="21"/>
              </w:rPr>
            </w:pPr>
          </w:p>
        </w:tc>
        <w:tc>
          <w:tcPr>
            <w:tcW w:w="2622" w:type="dxa"/>
            <w:noWrap w:val="0"/>
          </w:tcPr>
          <w:p w14:paraId="6E97876D">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设备ZT</w:t>
            </w:r>
          </w:p>
        </w:tc>
        <w:tc>
          <w:tcPr>
            <w:tcW w:w="1937" w:type="dxa"/>
            <w:noWrap w:val="0"/>
          </w:tcPr>
          <w:p w14:paraId="11DD624F">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noWrap w:val="0"/>
            <w:vAlign w:val="center"/>
          </w:tcPr>
          <w:p w14:paraId="2FA5D91D">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1000</w:t>
            </w:r>
          </w:p>
        </w:tc>
      </w:tr>
      <w:tr w14:paraId="01619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noWrap w:val="0"/>
          </w:tcPr>
          <w:p w14:paraId="6E4A1CA0">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19</w:t>
            </w:r>
          </w:p>
        </w:tc>
        <w:tc>
          <w:tcPr>
            <w:tcW w:w="1372" w:type="dxa"/>
            <w:vMerge w:val="continue"/>
            <w:noWrap w:val="0"/>
          </w:tcPr>
          <w:p w14:paraId="476E54C0">
            <w:pPr>
              <w:widowControl/>
              <w:spacing w:line="400" w:lineRule="exact"/>
              <w:jc w:val="center"/>
              <w:rPr>
                <w:rFonts w:ascii="宋体" w:hAnsi="宋体" w:eastAsia="宋体" w:cs="宋体"/>
                <w:color w:val="auto"/>
                <w:szCs w:val="21"/>
              </w:rPr>
            </w:pPr>
          </w:p>
        </w:tc>
        <w:tc>
          <w:tcPr>
            <w:tcW w:w="2622" w:type="dxa"/>
            <w:noWrap w:val="0"/>
          </w:tcPr>
          <w:p w14:paraId="3ECFF84D">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WiFi碰撞</w:t>
            </w:r>
          </w:p>
        </w:tc>
        <w:tc>
          <w:tcPr>
            <w:tcW w:w="1937" w:type="dxa"/>
            <w:noWrap w:val="0"/>
          </w:tcPr>
          <w:p w14:paraId="72927947">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noWrap w:val="0"/>
            <w:vAlign w:val="center"/>
          </w:tcPr>
          <w:p w14:paraId="267C5A1E">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200</w:t>
            </w:r>
          </w:p>
        </w:tc>
      </w:tr>
      <w:tr w14:paraId="0C097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noWrap w:val="0"/>
          </w:tcPr>
          <w:p w14:paraId="5D22C6D1">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20</w:t>
            </w:r>
          </w:p>
        </w:tc>
        <w:tc>
          <w:tcPr>
            <w:tcW w:w="1372" w:type="dxa"/>
            <w:vMerge w:val="continue"/>
            <w:noWrap w:val="0"/>
          </w:tcPr>
          <w:p w14:paraId="537FF647">
            <w:pPr>
              <w:widowControl/>
              <w:spacing w:line="400" w:lineRule="exact"/>
              <w:jc w:val="center"/>
              <w:rPr>
                <w:rFonts w:ascii="宋体" w:hAnsi="宋体" w:eastAsia="宋体" w:cs="宋体"/>
                <w:color w:val="auto"/>
                <w:szCs w:val="21"/>
              </w:rPr>
            </w:pPr>
          </w:p>
        </w:tc>
        <w:tc>
          <w:tcPr>
            <w:tcW w:w="2622" w:type="dxa"/>
            <w:noWrap w:val="0"/>
          </w:tcPr>
          <w:p w14:paraId="57ADF7C4">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TX分析</w:t>
            </w:r>
          </w:p>
        </w:tc>
        <w:tc>
          <w:tcPr>
            <w:tcW w:w="1937" w:type="dxa"/>
            <w:noWrap w:val="0"/>
          </w:tcPr>
          <w:p w14:paraId="655F14D9">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noWrap w:val="0"/>
            <w:vAlign w:val="center"/>
          </w:tcPr>
          <w:p w14:paraId="3377F517">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100</w:t>
            </w:r>
          </w:p>
        </w:tc>
      </w:tr>
      <w:tr w14:paraId="17B8C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21" w:type="dxa"/>
            <w:noWrap w:val="0"/>
          </w:tcPr>
          <w:p w14:paraId="0CDE00AD">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21</w:t>
            </w:r>
          </w:p>
        </w:tc>
        <w:tc>
          <w:tcPr>
            <w:tcW w:w="1372" w:type="dxa"/>
            <w:vMerge w:val="continue"/>
            <w:noWrap w:val="0"/>
          </w:tcPr>
          <w:p w14:paraId="7F95B847">
            <w:pPr>
              <w:widowControl/>
              <w:spacing w:line="400" w:lineRule="exact"/>
              <w:jc w:val="center"/>
              <w:rPr>
                <w:rFonts w:ascii="宋体" w:hAnsi="宋体" w:eastAsia="宋体" w:cs="宋体"/>
                <w:color w:val="auto"/>
                <w:szCs w:val="21"/>
              </w:rPr>
            </w:pPr>
          </w:p>
        </w:tc>
        <w:tc>
          <w:tcPr>
            <w:tcW w:w="2622" w:type="dxa"/>
            <w:noWrap w:val="0"/>
          </w:tcPr>
          <w:p w14:paraId="77035B9C">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RQ分布</w:t>
            </w:r>
          </w:p>
        </w:tc>
        <w:tc>
          <w:tcPr>
            <w:tcW w:w="1937" w:type="dxa"/>
            <w:noWrap w:val="0"/>
          </w:tcPr>
          <w:p w14:paraId="170CA723">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2714" w:type="dxa"/>
            <w:noWrap w:val="0"/>
            <w:vAlign w:val="center"/>
          </w:tcPr>
          <w:p w14:paraId="3F88C6C9">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100</w:t>
            </w:r>
            <w:bookmarkEnd w:id="188"/>
          </w:p>
        </w:tc>
      </w:tr>
    </w:tbl>
    <w:p w14:paraId="70AE67A6">
      <w:pPr>
        <w:spacing w:line="360" w:lineRule="auto"/>
        <w:ind w:firstLine="420"/>
        <w:jc w:val="left"/>
        <w:rPr>
          <w:rFonts w:ascii="宋体" w:hAnsi="宋体" w:eastAsia="宋体" w:cs="宋体"/>
          <w:color w:val="auto"/>
          <w:szCs w:val="21"/>
          <w:shd w:val="clear" w:color="auto" w:fill="FFFFFF"/>
        </w:rPr>
      </w:pPr>
    </w:p>
    <w:p w14:paraId="6558B0E0">
      <w:pPr>
        <w:pStyle w:val="2"/>
        <w:rPr>
          <w:rFonts w:ascii="宋体" w:hAnsi="宋体" w:eastAsia="宋体" w:cs="宋体"/>
          <w:color w:val="auto"/>
          <w:sz w:val="21"/>
          <w:szCs w:val="21"/>
          <w:shd w:val="clear" w:color="auto" w:fill="FFFFFF"/>
        </w:rPr>
      </w:pPr>
    </w:p>
    <w:p w14:paraId="4DB919F5">
      <w:pPr>
        <w:pStyle w:val="2"/>
        <w:rPr>
          <w:rFonts w:ascii="宋体" w:hAnsi="宋体" w:eastAsia="宋体" w:cs="宋体"/>
          <w:color w:val="auto"/>
          <w:sz w:val="21"/>
          <w:szCs w:val="21"/>
          <w:shd w:val="clear" w:color="auto" w:fill="FFFFFF"/>
        </w:rPr>
      </w:pPr>
    </w:p>
    <w:tbl>
      <w:tblPr>
        <w:tblStyle w:val="35"/>
        <w:tblW w:w="4925"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29"/>
        <w:gridCol w:w="1268"/>
        <w:gridCol w:w="2404"/>
        <w:gridCol w:w="1755"/>
        <w:gridCol w:w="2532"/>
      </w:tblGrid>
      <w:tr w14:paraId="0C5AB3C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472" w:type="pct"/>
            <w:tcBorders>
              <w:top w:val="single" w:color="auto" w:sz="4" w:space="0"/>
            </w:tcBorders>
            <w:noWrap w:val="0"/>
            <w:vAlign w:val="center"/>
          </w:tcPr>
          <w:p w14:paraId="0225E69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序号</w:t>
            </w:r>
          </w:p>
        </w:tc>
        <w:tc>
          <w:tcPr>
            <w:tcW w:w="721" w:type="pct"/>
            <w:tcBorders>
              <w:top w:val="single" w:color="auto" w:sz="4" w:space="0"/>
            </w:tcBorders>
            <w:noWrap w:val="0"/>
            <w:vAlign w:val="center"/>
          </w:tcPr>
          <w:p w14:paraId="44EB7092">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产品</w:t>
            </w:r>
          </w:p>
        </w:tc>
        <w:tc>
          <w:tcPr>
            <w:tcW w:w="1367" w:type="pct"/>
            <w:tcBorders>
              <w:top w:val="single" w:color="auto" w:sz="4" w:space="0"/>
            </w:tcBorders>
            <w:noWrap w:val="0"/>
            <w:vAlign w:val="center"/>
          </w:tcPr>
          <w:p w14:paraId="3BD856E8">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功能</w:t>
            </w:r>
          </w:p>
        </w:tc>
        <w:tc>
          <w:tcPr>
            <w:tcW w:w="998" w:type="pct"/>
            <w:tcBorders>
              <w:top w:val="single" w:color="auto" w:sz="4" w:space="0"/>
            </w:tcBorders>
            <w:noWrap w:val="0"/>
            <w:vAlign w:val="center"/>
          </w:tcPr>
          <w:p w14:paraId="6DCAE650">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最大许可数（个）</w:t>
            </w:r>
          </w:p>
        </w:tc>
        <w:tc>
          <w:tcPr>
            <w:tcW w:w="1440" w:type="pct"/>
            <w:tcBorders>
              <w:top w:val="single" w:color="auto" w:sz="4" w:space="0"/>
            </w:tcBorders>
            <w:noWrap w:val="0"/>
            <w:vAlign w:val="center"/>
          </w:tcPr>
          <w:p w14:paraId="26FEE1CA">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最大服务次数（次/年）/账号</w:t>
            </w:r>
          </w:p>
        </w:tc>
      </w:tr>
      <w:tr w14:paraId="42DF279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472" w:type="pct"/>
            <w:noWrap w:val="0"/>
            <w:vAlign w:val="center"/>
          </w:tcPr>
          <w:p w14:paraId="70942F0E">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w:t>
            </w:r>
          </w:p>
        </w:tc>
        <w:tc>
          <w:tcPr>
            <w:tcW w:w="721" w:type="pct"/>
            <w:vMerge w:val="restart"/>
            <w:noWrap w:val="0"/>
            <w:vAlign w:val="center"/>
          </w:tcPr>
          <w:p w14:paraId="053746D7">
            <w:pPr>
              <w:widowControl/>
              <w:jc w:val="center"/>
              <w:rPr>
                <w:rFonts w:ascii="宋体" w:hAnsi="宋体" w:eastAsia="宋体" w:cs="宋体"/>
                <w:color w:val="auto"/>
                <w:szCs w:val="21"/>
              </w:rPr>
            </w:pPr>
            <w:r>
              <w:rPr>
                <w:rFonts w:hint="eastAsia" w:ascii="宋体" w:hAnsi="宋体" w:eastAsia="宋体" w:cs="宋体"/>
                <w:color w:val="auto"/>
                <w:szCs w:val="21"/>
              </w:rPr>
              <w:t>类似</w:t>
            </w:r>
          </w:p>
          <w:p w14:paraId="31951036">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云脉</w:t>
            </w:r>
          </w:p>
          <w:p w14:paraId="3B6EEC95">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系统</w:t>
            </w:r>
          </w:p>
        </w:tc>
        <w:tc>
          <w:tcPr>
            <w:tcW w:w="1367" w:type="pct"/>
            <w:noWrap w:val="0"/>
            <w:vAlign w:val="center"/>
          </w:tcPr>
          <w:p w14:paraId="19CA6E95">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案件信息</w:t>
            </w:r>
          </w:p>
        </w:tc>
        <w:tc>
          <w:tcPr>
            <w:tcW w:w="998" w:type="pct"/>
            <w:noWrap w:val="0"/>
            <w:vAlign w:val="center"/>
          </w:tcPr>
          <w:p w14:paraId="33FB1C2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1440" w:type="pct"/>
            <w:noWrap w:val="0"/>
            <w:vAlign w:val="center"/>
          </w:tcPr>
          <w:p w14:paraId="1A1BC7D9">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无限制</w:t>
            </w:r>
          </w:p>
        </w:tc>
      </w:tr>
      <w:tr w14:paraId="59EA5C7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472" w:type="pct"/>
            <w:noWrap w:val="0"/>
            <w:vAlign w:val="center"/>
          </w:tcPr>
          <w:p w14:paraId="5082C576">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2</w:t>
            </w:r>
          </w:p>
        </w:tc>
        <w:tc>
          <w:tcPr>
            <w:tcW w:w="721" w:type="pct"/>
            <w:vMerge w:val="continue"/>
            <w:noWrap w:val="0"/>
            <w:vAlign w:val="center"/>
          </w:tcPr>
          <w:p w14:paraId="5A4BA008">
            <w:pPr>
              <w:widowControl/>
              <w:spacing w:line="400" w:lineRule="exact"/>
              <w:jc w:val="center"/>
              <w:rPr>
                <w:rFonts w:ascii="宋体" w:hAnsi="宋体" w:eastAsia="宋体" w:cs="宋体"/>
                <w:color w:val="auto"/>
                <w:szCs w:val="21"/>
              </w:rPr>
            </w:pPr>
          </w:p>
        </w:tc>
        <w:tc>
          <w:tcPr>
            <w:tcW w:w="1367" w:type="pct"/>
            <w:noWrap w:val="0"/>
            <w:vAlign w:val="center"/>
          </w:tcPr>
          <w:p w14:paraId="6AEA1396">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案件态势</w:t>
            </w:r>
          </w:p>
        </w:tc>
        <w:tc>
          <w:tcPr>
            <w:tcW w:w="998" w:type="pct"/>
            <w:noWrap w:val="0"/>
            <w:vAlign w:val="center"/>
          </w:tcPr>
          <w:p w14:paraId="4A9E9F7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1440" w:type="pct"/>
            <w:noWrap w:val="0"/>
            <w:vAlign w:val="center"/>
          </w:tcPr>
          <w:p w14:paraId="5EE7B0D6">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无限制</w:t>
            </w:r>
          </w:p>
        </w:tc>
      </w:tr>
      <w:tr w14:paraId="7705BA1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472" w:type="pct"/>
            <w:noWrap w:val="0"/>
            <w:vAlign w:val="center"/>
          </w:tcPr>
          <w:p w14:paraId="4E6B6F91">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721" w:type="pct"/>
            <w:vMerge w:val="continue"/>
            <w:noWrap w:val="0"/>
            <w:vAlign w:val="center"/>
          </w:tcPr>
          <w:p w14:paraId="3019EC9C">
            <w:pPr>
              <w:widowControl/>
              <w:spacing w:line="400" w:lineRule="exact"/>
              <w:jc w:val="center"/>
              <w:rPr>
                <w:rFonts w:ascii="宋体" w:hAnsi="宋体" w:eastAsia="宋体" w:cs="宋体"/>
                <w:color w:val="auto"/>
                <w:szCs w:val="21"/>
              </w:rPr>
            </w:pPr>
          </w:p>
        </w:tc>
        <w:tc>
          <w:tcPr>
            <w:tcW w:w="1367" w:type="pct"/>
            <w:noWrap w:val="0"/>
            <w:vAlign w:val="center"/>
          </w:tcPr>
          <w:p w14:paraId="27ECF48D">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案件统计大屏</w:t>
            </w:r>
          </w:p>
        </w:tc>
        <w:tc>
          <w:tcPr>
            <w:tcW w:w="998" w:type="pct"/>
            <w:noWrap w:val="0"/>
            <w:vAlign w:val="center"/>
          </w:tcPr>
          <w:p w14:paraId="1429CAAC">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1440" w:type="pct"/>
            <w:noWrap w:val="0"/>
            <w:vAlign w:val="center"/>
          </w:tcPr>
          <w:p w14:paraId="36144B18">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无限制</w:t>
            </w:r>
          </w:p>
        </w:tc>
      </w:tr>
      <w:tr w14:paraId="579BF7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472" w:type="pct"/>
            <w:noWrap w:val="0"/>
            <w:vAlign w:val="center"/>
          </w:tcPr>
          <w:p w14:paraId="2A2AADBD">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4</w:t>
            </w:r>
          </w:p>
        </w:tc>
        <w:tc>
          <w:tcPr>
            <w:tcW w:w="721" w:type="pct"/>
            <w:vMerge w:val="continue"/>
            <w:noWrap w:val="0"/>
            <w:vAlign w:val="center"/>
          </w:tcPr>
          <w:p w14:paraId="356CF61B">
            <w:pPr>
              <w:widowControl/>
              <w:spacing w:line="400" w:lineRule="exact"/>
              <w:jc w:val="center"/>
              <w:rPr>
                <w:rFonts w:ascii="宋体" w:hAnsi="宋体" w:eastAsia="宋体" w:cs="宋体"/>
                <w:color w:val="auto"/>
                <w:szCs w:val="21"/>
              </w:rPr>
            </w:pPr>
          </w:p>
        </w:tc>
        <w:tc>
          <w:tcPr>
            <w:tcW w:w="1367" w:type="pct"/>
            <w:noWrap w:val="0"/>
            <w:vAlign w:val="center"/>
          </w:tcPr>
          <w:p w14:paraId="0F95B07A">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应用管理</w:t>
            </w:r>
          </w:p>
        </w:tc>
        <w:tc>
          <w:tcPr>
            <w:tcW w:w="998" w:type="pct"/>
            <w:noWrap w:val="0"/>
            <w:vAlign w:val="center"/>
          </w:tcPr>
          <w:p w14:paraId="4220128F">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1440" w:type="pct"/>
            <w:noWrap w:val="0"/>
            <w:vAlign w:val="center"/>
          </w:tcPr>
          <w:p w14:paraId="3F2D173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无限制</w:t>
            </w:r>
          </w:p>
        </w:tc>
      </w:tr>
      <w:tr w14:paraId="0D4C057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472" w:type="pct"/>
            <w:noWrap w:val="0"/>
            <w:vAlign w:val="center"/>
          </w:tcPr>
          <w:p w14:paraId="122707F2">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5</w:t>
            </w:r>
          </w:p>
        </w:tc>
        <w:tc>
          <w:tcPr>
            <w:tcW w:w="721" w:type="pct"/>
            <w:vMerge w:val="continue"/>
            <w:noWrap w:val="0"/>
            <w:vAlign w:val="center"/>
          </w:tcPr>
          <w:p w14:paraId="30B89E2D">
            <w:pPr>
              <w:widowControl/>
              <w:spacing w:line="400" w:lineRule="exact"/>
              <w:jc w:val="center"/>
              <w:rPr>
                <w:rFonts w:ascii="宋体" w:hAnsi="宋体" w:eastAsia="宋体" w:cs="宋体"/>
                <w:color w:val="auto"/>
                <w:szCs w:val="21"/>
              </w:rPr>
            </w:pPr>
          </w:p>
        </w:tc>
        <w:tc>
          <w:tcPr>
            <w:tcW w:w="1367" w:type="pct"/>
            <w:noWrap w:val="0"/>
            <w:vAlign w:val="center"/>
          </w:tcPr>
          <w:p w14:paraId="078C7878">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模型智库</w:t>
            </w:r>
          </w:p>
        </w:tc>
        <w:tc>
          <w:tcPr>
            <w:tcW w:w="998" w:type="pct"/>
            <w:noWrap w:val="0"/>
            <w:vAlign w:val="center"/>
          </w:tcPr>
          <w:p w14:paraId="0175C12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1440" w:type="pct"/>
            <w:noWrap w:val="0"/>
            <w:vAlign w:val="center"/>
          </w:tcPr>
          <w:p w14:paraId="1B12A378">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无限制</w:t>
            </w:r>
          </w:p>
        </w:tc>
      </w:tr>
      <w:tr w14:paraId="4DA7F09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472" w:type="pct"/>
            <w:noWrap w:val="0"/>
            <w:vAlign w:val="center"/>
          </w:tcPr>
          <w:p w14:paraId="19ED5A43">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6</w:t>
            </w:r>
          </w:p>
        </w:tc>
        <w:tc>
          <w:tcPr>
            <w:tcW w:w="721" w:type="pct"/>
            <w:vMerge w:val="continue"/>
            <w:noWrap w:val="0"/>
            <w:vAlign w:val="center"/>
          </w:tcPr>
          <w:p w14:paraId="5AB388F5">
            <w:pPr>
              <w:widowControl/>
              <w:spacing w:line="400" w:lineRule="exact"/>
              <w:jc w:val="center"/>
              <w:rPr>
                <w:rFonts w:ascii="宋体" w:hAnsi="宋体" w:eastAsia="宋体" w:cs="宋体"/>
                <w:color w:val="auto"/>
                <w:szCs w:val="21"/>
              </w:rPr>
            </w:pPr>
          </w:p>
        </w:tc>
        <w:tc>
          <w:tcPr>
            <w:tcW w:w="1367" w:type="pct"/>
            <w:noWrap w:val="0"/>
            <w:vAlign w:val="center"/>
          </w:tcPr>
          <w:p w14:paraId="7923F67F">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设备多级扩线</w:t>
            </w:r>
          </w:p>
        </w:tc>
        <w:tc>
          <w:tcPr>
            <w:tcW w:w="998" w:type="pct"/>
            <w:noWrap w:val="0"/>
            <w:vAlign w:val="center"/>
          </w:tcPr>
          <w:p w14:paraId="108D8713">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1440" w:type="pct"/>
            <w:noWrap w:val="0"/>
            <w:vAlign w:val="center"/>
          </w:tcPr>
          <w:p w14:paraId="351B4E14">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6,000</w:t>
            </w:r>
          </w:p>
        </w:tc>
      </w:tr>
      <w:tr w14:paraId="3FF21A9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472" w:type="pct"/>
            <w:noWrap w:val="0"/>
            <w:vAlign w:val="center"/>
          </w:tcPr>
          <w:p w14:paraId="2E39C318">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7</w:t>
            </w:r>
          </w:p>
        </w:tc>
        <w:tc>
          <w:tcPr>
            <w:tcW w:w="721" w:type="pct"/>
            <w:vMerge w:val="continue"/>
            <w:noWrap w:val="0"/>
            <w:vAlign w:val="center"/>
          </w:tcPr>
          <w:p w14:paraId="1525F859">
            <w:pPr>
              <w:widowControl/>
              <w:spacing w:line="400" w:lineRule="exact"/>
              <w:jc w:val="center"/>
              <w:rPr>
                <w:rFonts w:ascii="宋体" w:hAnsi="宋体" w:eastAsia="宋体" w:cs="宋体"/>
                <w:color w:val="auto"/>
                <w:szCs w:val="21"/>
              </w:rPr>
            </w:pPr>
          </w:p>
        </w:tc>
        <w:tc>
          <w:tcPr>
            <w:tcW w:w="1367" w:type="pct"/>
            <w:noWrap w:val="0"/>
            <w:vAlign w:val="center"/>
          </w:tcPr>
          <w:p w14:paraId="3484868D">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WIFI多级扩线</w:t>
            </w:r>
          </w:p>
        </w:tc>
        <w:tc>
          <w:tcPr>
            <w:tcW w:w="998" w:type="pct"/>
            <w:noWrap w:val="0"/>
            <w:vAlign w:val="center"/>
          </w:tcPr>
          <w:p w14:paraId="12583B20">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1440" w:type="pct"/>
            <w:noWrap w:val="0"/>
            <w:vAlign w:val="center"/>
          </w:tcPr>
          <w:p w14:paraId="17D26E87">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6,000</w:t>
            </w:r>
          </w:p>
        </w:tc>
      </w:tr>
      <w:tr w14:paraId="6CAFEC6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472" w:type="pct"/>
            <w:noWrap w:val="0"/>
            <w:vAlign w:val="center"/>
          </w:tcPr>
          <w:p w14:paraId="0FA726D6">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8</w:t>
            </w:r>
          </w:p>
        </w:tc>
        <w:tc>
          <w:tcPr>
            <w:tcW w:w="721" w:type="pct"/>
            <w:vMerge w:val="continue"/>
            <w:noWrap w:val="0"/>
            <w:vAlign w:val="center"/>
          </w:tcPr>
          <w:p w14:paraId="0EBF1D7F">
            <w:pPr>
              <w:widowControl/>
              <w:spacing w:line="400" w:lineRule="exact"/>
              <w:jc w:val="center"/>
              <w:rPr>
                <w:rFonts w:ascii="宋体" w:hAnsi="宋体" w:eastAsia="宋体" w:cs="宋体"/>
                <w:color w:val="auto"/>
                <w:szCs w:val="21"/>
              </w:rPr>
            </w:pPr>
          </w:p>
        </w:tc>
        <w:tc>
          <w:tcPr>
            <w:tcW w:w="1367" w:type="pct"/>
            <w:noWrap w:val="0"/>
            <w:vAlign w:val="center"/>
          </w:tcPr>
          <w:p w14:paraId="1352105F">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回流分析</w:t>
            </w:r>
          </w:p>
        </w:tc>
        <w:tc>
          <w:tcPr>
            <w:tcW w:w="998" w:type="pct"/>
            <w:noWrap w:val="0"/>
            <w:vAlign w:val="center"/>
          </w:tcPr>
          <w:p w14:paraId="50E60A9E">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1440" w:type="pct"/>
            <w:noWrap w:val="0"/>
            <w:vAlign w:val="center"/>
          </w:tcPr>
          <w:p w14:paraId="3A73BD1A">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200</w:t>
            </w:r>
          </w:p>
        </w:tc>
      </w:tr>
      <w:tr w14:paraId="0D13EE0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472" w:type="pct"/>
            <w:noWrap w:val="0"/>
            <w:vAlign w:val="center"/>
          </w:tcPr>
          <w:p w14:paraId="1AEBA4B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9</w:t>
            </w:r>
          </w:p>
        </w:tc>
        <w:tc>
          <w:tcPr>
            <w:tcW w:w="721" w:type="pct"/>
            <w:vMerge w:val="continue"/>
            <w:noWrap w:val="0"/>
            <w:vAlign w:val="center"/>
          </w:tcPr>
          <w:p w14:paraId="541F4A7A">
            <w:pPr>
              <w:widowControl/>
              <w:spacing w:line="400" w:lineRule="exact"/>
              <w:jc w:val="center"/>
              <w:rPr>
                <w:rFonts w:ascii="宋体" w:hAnsi="宋体" w:eastAsia="宋体" w:cs="宋体"/>
                <w:color w:val="auto"/>
                <w:szCs w:val="21"/>
              </w:rPr>
            </w:pPr>
          </w:p>
        </w:tc>
        <w:tc>
          <w:tcPr>
            <w:tcW w:w="1367" w:type="pct"/>
            <w:noWrap w:val="0"/>
            <w:vAlign w:val="center"/>
          </w:tcPr>
          <w:p w14:paraId="1A9D95DC">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APP分析</w:t>
            </w:r>
          </w:p>
        </w:tc>
        <w:tc>
          <w:tcPr>
            <w:tcW w:w="998" w:type="pct"/>
            <w:noWrap w:val="0"/>
            <w:vAlign w:val="center"/>
          </w:tcPr>
          <w:p w14:paraId="17307ADD">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1440" w:type="pct"/>
            <w:noWrap w:val="0"/>
            <w:vAlign w:val="center"/>
          </w:tcPr>
          <w:p w14:paraId="47F28023">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6,000</w:t>
            </w:r>
          </w:p>
        </w:tc>
      </w:tr>
      <w:tr w14:paraId="4DEEAC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472" w:type="pct"/>
            <w:noWrap w:val="0"/>
            <w:vAlign w:val="center"/>
          </w:tcPr>
          <w:p w14:paraId="08F1A3D9">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10</w:t>
            </w:r>
          </w:p>
        </w:tc>
        <w:tc>
          <w:tcPr>
            <w:tcW w:w="721" w:type="pct"/>
            <w:vMerge w:val="continue"/>
            <w:noWrap w:val="0"/>
            <w:vAlign w:val="center"/>
          </w:tcPr>
          <w:p w14:paraId="182990C9">
            <w:pPr>
              <w:widowControl/>
              <w:spacing w:line="400" w:lineRule="exact"/>
              <w:jc w:val="center"/>
              <w:rPr>
                <w:rFonts w:ascii="宋体" w:hAnsi="宋体" w:eastAsia="宋体" w:cs="宋体"/>
                <w:color w:val="auto"/>
                <w:szCs w:val="21"/>
              </w:rPr>
            </w:pPr>
          </w:p>
        </w:tc>
        <w:tc>
          <w:tcPr>
            <w:tcW w:w="1367" w:type="pct"/>
            <w:noWrap w:val="0"/>
            <w:vAlign w:val="center"/>
          </w:tcPr>
          <w:p w14:paraId="75AE66C4">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IP分析</w:t>
            </w:r>
          </w:p>
        </w:tc>
        <w:tc>
          <w:tcPr>
            <w:tcW w:w="998" w:type="pct"/>
            <w:noWrap w:val="0"/>
            <w:vAlign w:val="center"/>
          </w:tcPr>
          <w:p w14:paraId="7FBB32D9">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1440" w:type="pct"/>
            <w:noWrap w:val="0"/>
            <w:vAlign w:val="center"/>
          </w:tcPr>
          <w:p w14:paraId="4166B36F">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6,000</w:t>
            </w:r>
          </w:p>
        </w:tc>
      </w:tr>
      <w:tr w14:paraId="5062BF3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472" w:type="pct"/>
            <w:noWrap w:val="0"/>
            <w:vAlign w:val="center"/>
          </w:tcPr>
          <w:p w14:paraId="0EF91B8D">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11</w:t>
            </w:r>
          </w:p>
        </w:tc>
        <w:tc>
          <w:tcPr>
            <w:tcW w:w="721" w:type="pct"/>
            <w:vMerge w:val="continue"/>
            <w:noWrap w:val="0"/>
            <w:vAlign w:val="center"/>
          </w:tcPr>
          <w:p w14:paraId="7E215FEC">
            <w:pPr>
              <w:widowControl/>
              <w:spacing w:line="400" w:lineRule="exact"/>
              <w:jc w:val="center"/>
              <w:rPr>
                <w:rFonts w:ascii="宋体" w:hAnsi="宋体" w:eastAsia="宋体" w:cs="宋体"/>
                <w:color w:val="auto"/>
                <w:szCs w:val="21"/>
              </w:rPr>
            </w:pPr>
          </w:p>
        </w:tc>
        <w:tc>
          <w:tcPr>
            <w:tcW w:w="1367" w:type="pct"/>
            <w:noWrap w:val="0"/>
            <w:vAlign w:val="center"/>
          </w:tcPr>
          <w:p w14:paraId="6E7C21AC">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WiFi分析</w:t>
            </w:r>
          </w:p>
        </w:tc>
        <w:tc>
          <w:tcPr>
            <w:tcW w:w="998" w:type="pct"/>
            <w:noWrap w:val="0"/>
            <w:vAlign w:val="center"/>
          </w:tcPr>
          <w:p w14:paraId="33335E9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1440" w:type="pct"/>
            <w:noWrap w:val="0"/>
            <w:vAlign w:val="center"/>
          </w:tcPr>
          <w:p w14:paraId="6CE71B5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6,000</w:t>
            </w:r>
          </w:p>
        </w:tc>
      </w:tr>
      <w:tr w14:paraId="151C87E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472" w:type="pct"/>
            <w:noWrap w:val="0"/>
            <w:vAlign w:val="center"/>
          </w:tcPr>
          <w:p w14:paraId="64542BC4">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12</w:t>
            </w:r>
          </w:p>
        </w:tc>
        <w:tc>
          <w:tcPr>
            <w:tcW w:w="721" w:type="pct"/>
            <w:vMerge w:val="continue"/>
            <w:noWrap w:val="0"/>
            <w:vAlign w:val="center"/>
          </w:tcPr>
          <w:p w14:paraId="544482EF">
            <w:pPr>
              <w:widowControl/>
              <w:spacing w:line="400" w:lineRule="exact"/>
              <w:jc w:val="center"/>
              <w:rPr>
                <w:rFonts w:ascii="宋体" w:hAnsi="宋体" w:eastAsia="宋体" w:cs="宋体"/>
                <w:color w:val="auto"/>
                <w:szCs w:val="21"/>
              </w:rPr>
            </w:pPr>
          </w:p>
        </w:tc>
        <w:tc>
          <w:tcPr>
            <w:tcW w:w="1367" w:type="pct"/>
            <w:noWrap w:val="0"/>
            <w:vAlign w:val="center"/>
          </w:tcPr>
          <w:p w14:paraId="4CAFB6F1">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群体分析</w:t>
            </w:r>
          </w:p>
        </w:tc>
        <w:tc>
          <w:tcPr>
            <w:tcW w:w="998" w:type="pct"/>
            <w:noWrap w:val="0"/>
            <w:vAlign w:val="center"/>
          </w:tcPr>
          <w:p w14:paraId="79CF062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1440" w:type="pct"/>
            <w:noWrap w:val="0"/>
            <w:vAlign w:val="center"/>
          </w:tcPr>
          <w:p w14:paraId="704AB50F">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6,000</w:t>
            </w:r>
          </w:p>
        </w:tc>
      </w:tr>
      <w:tr w14:paraId="7133CE2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472" w:type="pct"/>
            <w:noWrap w:val="0"/>
            <w:vAlign w:val="center"/>
          </w:tcPr>
          <w:p w14:paraId="49DFDFC7">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13</w:t>
            </w:r>
          </w:p>
        </w:tc>
        <w:tc>
          <w:tcPr>
            <w:tcW w:w="721" w:type="pct"/>
            <w:vMerge w:val="continue"/>
            <w:noWrap w:val="0"/>
            <w:vAlign w:val="center"/>
          </w:tcPr>
          <w:p w14:paraId="2CF66492">
            <w:pPr>
              <w:widowControl/>
              <w:spacing w:line="400" w:lineRule="exact"/>
              <w:jc w:val="center"/>
              <w:rPr>
                <w:rFonts w:ascii="宋体" w:hAnsi="宋体" w:eastAsia="宋体" w:cs="宋体"/>
                <w:color w:val="auto"/>
                <w:szCs w:val="21"/>
              </w:rPr>
            </w:pPr>
          </w:p>
        </w:tc>
        <w:tc>
          <w:tcPr>
            <w:tcW w:w="1367" w:type="pct"/>
            <w:noWrap w:val="0"/>
            <w:vAlign w:val="center"/>
          </w:tcPr>
          <w:p w14:paraId="13B8BED6">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标签分析</w:t>
            </w:r>
          </w:p>
        </w:tc>
        <w:tc>
          <w:tcPr>
            <w:tcW w:w="998" w:type="pct"/>
            <w:noWrap w:val="0"/>
            <w:vAlign w:val="center"/>
          </w:tcPr>
          <w:p w14:paraId="45F51EBF">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1440" w:type="pct"/>
            <w:noWrap w:val="0"/>
            <w:vAlign w:val="center"/>
          </w:tcPr>
          <w:p w14:paraId="6138C31E">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6,000</w:t>
            </w:r>
          </w:p>
        </w:tc>
      </w:tr>
      <w:tr w14:paraId="0CB4BE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472" w:type="pct"/>
            <w:noWrap w:val="0"/>
            <w:vAlign w:val="center"/>
          </w:tcPr>
          <w:p w14:paraId="1D8532E9">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14</w:t>
            </w:r>
          </w:p>
        </w:tc>
        <w:tc>
          <w:tcPr>
            <w:tcW w:w="721" w:type="pct"/>
            <w:vMerge w:val="continue"/>
            <w:noWrap w:val="0"/>
            <w:vAlign w:val="center"/>
          </w:tcPr>
          <w:p w14:paraId="47133030">
            <w:pPr>
              <w:widowControl/>
              <w:spacing w:line="400" w:lineRule="exact"/>
              <w:jc w:val="center"/>
              <w:rPr>
                <w:rFonts w:ascii="宋体" w:hAnsi="宋体" w:eastAsia="宋体" w:cs="宋体"/>
                <w:color w:val="auto"/>
                <w:szCs w:val="21"/>
              </w:rPr>
            </w:pPr>
          </w:p>
        </w:tc>
        <w:tc>
          <w:tcPr>
            <w:tcW w:w="1367" w:type="pct"/>
            <w:noWrap w:val="0"/>
            <w:vAlign w:val="center"/>
          </w:tcPr>
          <w:p w14:paraId="40CC462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APK解析</w:t>
            </w:r>
          </w:p>
        </w:tc>
        <w:tc>
          <w:tcPr>
            <w:tcW w:w="998" w:type="pct"/>
            <w:noWrap w:val="0"/>
            <w:vAlign w:val="center"/>
          </w:tcPr>
          <w:p w14:paraId="02A00169">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1440" w:type="pct"/>
            <w:noWrap w:val="0"/>
            <w:vAlign w:val="center"/>
          </w:tcPr>
          <w:p w14:paraId="398ED355">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6,000</w:t>
            </w:r>
          </w:p>
        </w:tc>
      </w:tr>
      <w:tr w14:paraId="2F0DC4D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472" w:type="pct"/>
            <w:noWrap w:val="0"/>
            <w:vAlign w:val="center"/>
          </w:tcPr>
          <w:p w14:paraId="03DAB249">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15</w:t>
            </w:r>
          </w:p>
        </w:tc>
        <w:tc>
          <w:tcPr>
            <w:tcW w:w="721" w:type="pct"/>
            <w:vMerge w:val="continue"/>
            <w:noWrap w:val="0"/>
            <w:vAlign w:val="center"/>
          </w:tcPr>
          <w:p w14:paraId="6445E0B7">
            <w:pPr>
              <w:widowControl/>
              <w:spacing w:line="400" w:lineRule="exact"/>
              <w:jc w:val="center"/>
              <w:rPr>
                <w:rFonts w:ascii="宋体" w:hAnsi="宋体" w:eastAsia="宋体" w:cs="宋体"/>
                <w:color w:val="auto"/>
                <w:szCs w:val="21"/>
              </w:rPr>
            </w:pPr>
          </w:p>
        </w:tc>
        <w:tc>
          <w:tcPr>
            <w:tcW w:w="1367" w:type="pct"/>
            <w:noWrap w:val="0"/>
            <w:vAlign w:val="center"/>
          </w:tcPr>
          <w:p w14:paraId="4D525E83">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人群DW</w:t>
            </w:r>
          </w:p>
        </w:tc>
        <w:tc>
          <w:tcPr>
            <w:tcW w:w="998" w:type="pct"/>
            <w:noWrap w:val="0"/>
            <w:vAlign w:val="center"/>
          </w:tcPr>
          <w:p w14:paraId="2913BF19">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1440" w:type="pct"/>
            <w:noWrap w:val="0"/>
            <w:vAlign w:val="center"/>
          </w:tcPr>
          <w:p w14:paraId="712E4187">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6,000</w:t>
            </w:r>
          </w:p>
        </w:tc>
      </w:tr>
      <w:tr w14:paraId="58B2685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472" w:type="pct"/>
            <w:noWrap w:val="0"/>
            <w:vAlign w:val="center"/>
          </w:tcPr>
          <w:p w14:paraId="768B220F">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16</w:t>
            </w:r>
          </w:p>
        </w:tc>
        <w:tc>
          <w:tcPr>
            <w:tcW w:w="721" w:type="pct"/>
            <w:vMerge w:val="continue"/>
            <w:noWrap w:val="0"/>
            <w:vAlign w:val="center"/>
          </w:tcPr>
          <w:p w14:paraId="474A50E8">
            <w:pPr>
              <w:widowControl/>
              <w:spacing w:line="400" w:lineRule="exact"/>
              <w:jc w:val="center"/>
              <w:rPr>
                <w:rFonts w:ascii="宋体" w:hAnsi="宋体" w:eastAsia="宋体" w:cs="宋体"/>
                <w:color w:val="auto"/>
                <w:szCs w:val="21"/>
              </w:rPr>
            </w:pPr>
          </w:p>
        </w:tc>
        <w:tc>
          <w:tcPr>
            <w:tcW w:w="1367" w:type="pct"/>
            <w:noWrap w:val="0"/>
            <w:vAlign w:val="center"/>
          </w:tcPr>
          <w:p w14:paraId="3E077457">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预警统计中心</w:t>
            </w:r>
          </w:p>
        </w:tc>
        <w:tc>
          <w:tcPr>
            <w:tcW w:w="998" w:type="pct"/>
            <w:noWrap w:val="0"/>
            <w:vAlign w:val="center"/>
          </w:tcPr>
          <w:p w14:paraId="519FAA71">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1440" w:type="pct"/>
            <w:noWrap w:val="0"/>
            <w:vAlign w:val="center"/>
          </w:tcPr>
          <w:p w14:paraId="5BAB0B25">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无限制</w:t>
            </w:r>
          </w:p>
        </w:tc>
      </w:tr>
      <w:tr w14:paraId="3EB6EE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472" w:type="pct"/>
            <w:noWrap w:val="0"/>
            <w:vAlign w:val="center"/>
          </w:tcPr>
          <w:p w14:paraId="3B412E1B">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17</w:t>
            </w:r>
          </w:p>
        </w:tc>
        <w:tc>
          <w:tcPr>
            <w:tcW w:w="721" w:type="pct"/>
            <w:vMerge w:val="continue"/>
            <w:noWrap w:val="0"/>
            <w:vAlign w:val="center"/>
          </w:tcPr>
          <w:p w14:paraId="5A6618E7">
            <w:pPr>
              <w:widowControl/>
              <w:spacing w:line="400" w:lineRule="exact"/>
              <w:jc w:val="center"/>
              <w:rPr>
                <w:rFonts w:ascii="宋体" w:hAnsi="宋体" w:eastAsia="宋体" w:cs="宋体"/>
                <w:color w:val="auto"/>
                <w:szCs w:val="21"/>
              </w:rPr>
            </w:pPr>
          </w:p>
        </w:tc>
        <w:tc>
          <w:tcPr>
            <w:tcW w:w="1367" w:type="pct"/>
            <w:noWrap w:val="0"/>
            <w:vAlign w:val="center"/>
          </w:tcPr>
          <w:p w14:paraId="1186BE95">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预警来源管理</w:t>
            </w:r>
          </w:p>
        </w:tc>
        <w:tc>
          <w:tcPr>
            <w:tcW w:w="998" w:type="pct"/>
            <w:noWrap w:val="0"/>
            <w:vAlign w:val="center"/>
          </w:tcPr>
          <w:p w14:paraId="22ECE27D">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1440" w:type="pct"/>
            <w:noWrap w:val="0"/>
            <w:vAlign w:val="center"/>
          </w:tcPr>
          <w:p w14:paraId="3CD61823">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无限制</w:t>
            </w:r>
          </w:p>
        </w:tc>
      </w:tr>
      <w:tr w14:paraId="6BAEEAD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472" w:type="pct"/>
            <w:noWrap w:val="0"/>
            <w:vAlign w:val="center"/>
          </w:tcPr>
          <w:p w14:paraId="12D1529E">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18</w:t>
            </w:r>
          </w:p>
        </w:tc>
        <w:tc>
          <w:tcPr>
            <w:tcW w:w="721" w:type="pct"/>
            <w:vMerge w:val="continue"/>
            <w:noWrap w:val="0"/>
            <w:vAlign w:val="center"/>
          </w:tcPr>
          <w:p w14:paraId="765EBE02">
            <w:pPr>
              <w:widowControl/>
              <w:spacing w:line="400" w:lineRule="exact"/>
              <w:jc w:val="center"/>
              <w:rPr>
                <w:rFonts w:ascii="宋体" w:hAnsi="宋体" w:eastAsia="宋体" w:cs="宋体"/>
                <w:color w:val="auto"/>
                <w:szCs w:val="21"/>
              </w:rPr>
            </w:pPr>
          </w:p>
        </w:tc>
        <w:tc>
          <w:tcPr>
            <w:tcW w:w="1367" w:type="pct"/>
            <w:noWrap w:val="0"/>
            <w:vAlign w:val="center"/>
          </w:tcPr>
          <w:p w14:paraId="53F0A925">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预警人群管理</w:t>
            </w:r>
          </w:p>
        </w:tc>
        <w:tc>
          <w:tcPr>
            <w:tcW w:w="998" w:type="pct"/>
            <w:noWrap w:val="0"/>
            <w:vAlign w:val="center"/>
          </w:tcPr>
          <w:p w14:paraId="51D129B5">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1440" w:type="pct"/>
            <w:noWrap w:val="0"/>
            <w:vAlign w:val="center"/>
          </w:tcPr>
          <w:p w14:paraId="3D779C55">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无限制</w:t>
            </w:r>
          </w:p>
        </w:tc>
      </w:tr>
      <w:tr w14:paraId="23BDC21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472" w:type="pct"/>
            <w:noWrap w:val="0"/>
            <w:vAlign w:val="center"/>
          </w:tcPr>
          <w:p w14:paraId="1198BA3A">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19</w:t>
            </w:r>
          </w:p>
        </w:tc>
        <w:tc>
          <w:tcPr>
            <w:tcW w:w="721" w:type="pct"/>
            <w:vMerge w:val="continue"/>
            <w:noWrap w:val="0"/>
            <w:vAlign w:val="center"/>
          </w:tcPr>
          <w:p w14:paraId="4A19E105">
            <w:pPr>
              <w:widowControl/>
              <w:spacing w:line="400" w:lineRule="exact"/>
              <w:jc w:val="center"/>
              <w:rPr>
                <w:rFonts w:ascii="宋体" w:hAnsi="宋体" w:eastAsia="宋体" w:cs="宋体"/>
                <w:color w:val="auto"/>
                <w:szCs w:val="21"/>
              </w:rPr>
            </w:pPr>
          </w:p>
        </w:tc>
        <w:tc>
          <w:tcPr>
            <w:tcW w:w="1367" w:type="pct"/>
            <w:noWrap w:val="0"/>
            <w:vAlign w:val="center"/>
          </w:tcPr>
          <w:p w14:paraId="6E344B55">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回访中心</w:t>
            </w:r>
          </w:p>
        </w:tc>
        <w:tc>
          <w:tcPr>
            <w:tcW w:w="998" w:type="pct"/>
            <w:noWrap w:val="0"/>
            <w:vAlign w:val="center"/>
          </w:tcPr>
          <w:p w14:paraId="4EF786D4">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3</w:t>
            </w:r>
          </w:p>
        </w:tc>
        <w:tc>
          <w:tcPr>
            <w:tcW w:w="1440" w:type="pct"/>
            <w:noWrap w:val="0"/>
            <w:vAlign w:val="center"/>
          </w:tcPr>
          <w:p w14:paraId="6DC4D5D7">
            <w:pPr>
              <w:widowControl/>
              <w:spacing w:line="400" w:lineRule="exact"/>
              <w:jc w:val="center"/>
              <w:rPr>
                <w:rFonts w:ascii="宋体" w:hAnsi="宋体" w:eastAsia="宋体" w:cs="宋体"/>
                <w:color w:val="auto"/>
                <w:szCs w:val="21"/>
              </w:rPr>
            </w:pPr>
            <w:r>
              <w:rPr>
                <w:rFonts w:hint="eastAsia" w:ascii="宋体" w:hAnsi="宋体" w:eastAsia="宋体" w:cs="宋体"/>
                <w:color w:val="auto"/>
                <w:szCs w:val="21"/>
              </w:rPr>
              <w:t>无限制</w:t>
            </w:r>
          </w:p>
        </w:tc>
      </w:tr>
    </w:tbl>
    <w:p w14:paraId="3ABCD7D0">
      <w:pPr>
        <w:pStyle w:val="200"/>
        <w:numPr>
          <w:ilvl w:val="0"/>
          <w:numId w:val="0"/>
        </w:numPr>
        <w:ind w:firstLine="420"/>
        <w:jc w:val="left"/>
        <w:rPr>
          <w:rFonts w:ascii="宋体" w:hAnsi="宋体" w:eastAsia="宋体" w:cs="宋体"/>
          <w:b/>
          <w:color w:val="auto"/>
          <w:szCs w:val="21"/>
        </w:rPr>
      </w:pPr>
      <w:r>
        <w:rPr>
          <w:rFonts w:hint="eastAsia" w:ascii="宋体" w:hAnsi="宋体" w:eastAsia="宋体" w:cs="宋体"/>
          <w:color w:val="auto"/>
          <w:szCs w:val="21"/>
        </w:rPr>
        <w:tab/>
      </w:r>
      <w:r>
        <w:rPr>
          <w:rFonts w:hint="eastAsia" w:ascii="宋体" w:hAnsi="宋体" w:eastAsia="宋体" w:cs="宋体"/>
          <w:b/>
          <w:color w:val="auto"/>
          <w:szCs w:val="21"/>
        </w:rPr>
        <w:t>二、售后服务要求</w:t>
      </w:r>
    </w:p>
    <w:p w14:paraId="6538E11E">
      <w:pPr>
        <w:pStyle w:val="199"/>
        <w:spacing w:line="360" w:lineRule="auto"/>
        <w:jc w:val="left"/>
        <w:rPr>
          <w:rFonts w:ascii="宋体" w:hAnsi="宋体" w:cs="宋体"/>
          <w:bCs/>
          <w:color w:val="auto"/>
          <w:szCs w:val="21"/>
        </w:rPr>
      </w:pPr>
      <w:r>
        <w:rPr>
          <w:rFonts w:hint="eastAsia" w:ascii="宋体" w:hAnsi="宋体" w:cs="宋体"/>
          <w:bCs/>
          <w:color w:val="auto"/>
          <w:szCs w:val="21"/>
        </w:rPr>
        <w:t>★1.中标人应提供售后服务承诺书、联系人和联系电话，能够长期提供良好的技术支持。</w:t>
      </w:r>
    </w:p>
    <w:p w14:paraId="16988CC6">
      <w:pPr>
        <w:pStyle w:val="199"/>
        <w:spacing w:line="360" w:lineRule="auto"/>
        <w:jc w:val="left"/>
        <w:rPr>
          <w:rFonts w:ascii="宋体" w:hAnsi="宋体" w:cs="宋体"/>
          <w:bCs/>
          <w:color w:val="auto"/>
          <w:szCs w:val="21"/>
        </w:rPr>
      </w:pPr>
      <w:r>
        <w:rPr>
          <w:rFonts w:hint="eastAsia" w:ascii="宋体" w:hAnsi="宋体" w:cs="宋体"/>
          <w:bCs/>
          <w:color w:val="auto"/>
          <w:szCs w:val="21"/>
        </w:rPr>
        <w:t>★2.服务响应时间要求：提供7×24小时电话响应服务，响应时间为1小时。</w:t>
      </w:r>
    </w:p>
    <w:p w14:paraId="782FCA2D">
      <w:pPr>
        <w:pStyle w:val="199"/>
        <w:spacing w:line="360" w:lineRule="auto"/>
        <w:jc w:val="left"/>
        <w:rPr>
          <w:rFonts w:ascii="宋体" w:hAnsi="宋体" w:cs="宋体"/>
          <w:bCs/>
          <w:color w:val="auto"/>
          <w:szCs w:val="21"/>
        </w:rPr>
      </w:pPr>
      <w:r>
        <w:rPr>
          <w:rFonts w:hint="eastAsia" w:ascii="宋体" w:hAnsi="宋体" w:cs="宋体"/>
          <w:bCs/>
          <w:color w:val="auto"/>
          <w:szCs w:val="21"/>
        </w:rPr>
        <w:t>★3.中标人应能提供多种形式的技术支持服务，解决软件出现的技术问题。</w:t>
      </w:r>
    </w:p>
    <w:p w14:paraId="0AE1581A">
      <w:pPr>
        <w:pStyle w:val="199"/>
        <w:spacing w:line="360" w:lineRule="auto"/>
        <w:jc w:val="left"/>
        <w:rPr>
          <w:rFonts w:ascii="宋体" w:hAnsi="宋体" w:cs="宋体"/>
          <w:bCs/>
          <w:color w:val="auto"/>
          <w:szCs w:val="21"/>
        </w:rPr>
      </w:pPr>
      <w:r>
        <w:rPr>
          <w:rFonts w:hint="eastAsia" w:ascii="宋体" w:hAnsi="宋体" w:cs="宋体"/>
          <w:bCs/>
          <w:color w:val="auto"/>
          <w:szCs w:val="21"/>
        </w:rPr>
        <w:t>★4.投标人应按其投标文件中的承诺，进行其他售后服务工作。</w:t>
      </w:r>
    </w:p>
    <w:p w14:paraId="53BE982B">
      <w:pPr>
        <w:pStyle w:val="199"/>
        <w:spacing w:line="360" w:lineRule="auto"/>
        <w:ind w:firstLine="422"/>
        <w:jc w:val="left"/>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说明：以上四项（标★项）为实质性要求，投标时提供以上响应承诺函加盖投标人公章（格式自拟），未提供的按未实质性响应处理。</w:t>
      </w:r>
    </w:p>
    <w:p w14:paraId="0B2B45C9">
      <w:pPr>
        <w:pStyle w:val="199"/>
        <w:spacing w:line="360" w:lineRule="auto"/>
        <w:ind w:firstLine="422"/>
        <w:jc w:val="left"/>
        <w:rPr>
          <w:rFonts w:ascii="宋体" w:hAnsi="宋体" w:cs="宋体"/>
          <w:b/>
          <w:color w:val="auto"/>
          <w:szCs w:val="21"/>
        </w:rPr>
      </w:pPr>
      <w:r>
        <w:rPr>
          <w:rFonts w:hint="eastAsia" w:ascii="宋体" w:hAnsi="宋体" w:cs="宋体"/>
          <w:b/>
          <w:color w:val="auto"/>
          <w:szCs w:val="21"/>
        </w:rPr>
        <w:t>三、验收说明</w:t>
      </w:r>
    </w:p>
    <w:p w14:paraId="49F4103A">
      <w:pPr>
        <w:pStyle w:val="199"/>
        <w:spacing w:line="360" w:lineRule="auto"/>
        <w:jc w:val="left"/>
        <w:rPr>
          <w:rFonts w:ascii="宋体" w:hAnsi="宋体" w:cs="宋体"/>
          <w:bCs/>
          <w:color w:val="auto"/>
          <w:szCs w:val="21"/>
        </w:rPr>
      </w:pPr>
      <w:r>
        <w:rPr>
          <w:rFonts w:hint="eastAsia" w:ascii="宋体" w:hAnsi="宋体" w:cs="宋体"/>
          <w:bCs/>
          <w:color w:val="auto"/>
          <w:szCs w:val="21"/>
        </w:rPr>
        <w:t>按照招标文件规定的技术、服务等要求由采购人组织对中标人履约的验收。</w:t>
      </w:r>
    </w:p>
    <w:p w14:paraId="006C8FDE">
      <w:pPr>
        <w:pStyle w:val="199"/>
        <w:spacing w:line="360" w:lineRule="auto"/>
        <w:ind w:firstLine="422"/>
        <w:jc w:val="left"/>
        <w:rPr>
          <w:rFonts w:ascii="宋体" w:hAnsi="宋体" w:cs="宋体"/>
          <w:b/>
          <w:color w:val="auto"/>
          <w:szCs w:val="21"/>
        </w:rPr>
      </w:pPr>
      <w:r>
        <w:rPr>
          <w:rFonts w:hint="eastAsia" w:ascii="宋体" w:hAnsi="宋体" w:cs="宋体"/>
          <w:b/>
          <w:color w:val="auto"/>
          <w:szCs w:val="21"/>
        </w:rPr>
        <w:t>四、投标要求</w:t>
      </w:r>
    </w:p>
    <w:p w14:paraId="1D2350C2">
      <w:pPr>
        <w:pStyle w:val="199"/>
        <w:spacing w:line="360" w:lineRule="auto"/>
        <w:jc w:val="left"/>
        <w:rPr>
          <w:rFonts w:ascii="宋体" w:hAnsi="宋体" w:cs="宋体"/>
          <w:bCs/>
          <w:color w:val="auto"/>
          <w:szCs w:val="21"/>
        </w:rPr>
      </w:pPr>
      <w:r>
        <w:rPr>
          <w:rFonts w:hint="eastAsia" w:ascii="宋体" w:hAnsi="宋体" w:cs="宋体"/>
          <w:bCs/>
          <w:color w:val="auto"/>
          <w:szCs w:val="21"/>
        </w:rPr>
        <w:t>★1.投标人提供免费上门培训，有完善的培训计划，并附详细培训课程。</w:t>
      </w:r>
    </w:p>
    <w:p w14:paraId="4AE64E8A">
      <w:pPr>
        <w:pStyle w:val="199"/>
        <w:spacing w:line="360" w:lineRule="auto"/>
        <w:jc w:val="left"/>
        <w:rPr>
          <w:rFonts w:ascii="宋体" w:hAnsi="宋体" w:cs="宋体"/>
          <w:bCs/>
          <w:color w:val="auto"/>
          <w:szCs w:val="21"/>
        </w:rPr>
      </w:pPr>
      <w:r>
        <w:rPr>
          <w:rFonts w:hint="eastAsia" w:ascii="宋体" w:hAnsi="宋体" w:cs="宋体"/>
          <w:bCs/>
          <w:color w:val="auto"/>
          <w:szCs w:val="21"/>
        </w:rPr>
        <w:t>★2.投标人提供技术资料完善，产品介绍详细，产品功能贴近实战。</w:t>
      </w:r>
    </w:p>
    <w:p w14:paraId="21B00E71">
      <w:pPr>
        <w:pStyle w:val="199"/>
        <w:spacing w:line="360" w:lineRule="auto"/>
        <w:jc w:val="left"/>
        <w:rPr>
          <w:rFonts w:ascii="宋体" w:hAnsi="宋体" w:cs="宋体"/>
          <w:bCs/>
          <w:color w:val="auto"/>
          <w:szCs w:val="21"/>
        </w:rPr>
      </w:pPr>
      <w:r>
        <w:rPr>
          <w:rFonts w:hint="eastAsia" w:ascii="宋体" w:hAnsi="宋体" w:cs="宋体"/>
          <w:bCs/>
          <w:color w:val="auto"/>
          <w:szCs w:val="21"/>
        </w:rPr>
        <w:t>★3.售后服务方案具体、详细、合理可行，可操作性强。</w:t>
      </w:r>
    </w:p>
    <w:p w14:paraId="5B6BC4C1">
      <w:pPr>
        <w:ind w:firstLine="420"/>
        <w:jc w:val="left"/>
        <w:rPr>
          <w:rFonts w:ascii="宋体" w:hAnsi="宋体" w:eastAsia="宋体" w:cs="宋体"/>
          <w:bCs/>
          <w:color w:val="auto"/>
          <w:szCs w:val="21"/>
        </w:rPr>
      </w:pPr>
      <w:r>
        <w:rPr>
          <w:rFonts w:hint="eastAsia" w:ascii="宋体" w:hAnsi="宋体" w:eastAsia="宋体" w:cs="宋体"/>
          <w:bCs/>
          <w:color w:val="auto"/>
          <w:szCs w:val="21"/>
        </w:rPr>
        <w:t>★4.内网内运行，且使用人员需公安数字证书验证登录。</w:t>
      </w:r>
    </w:p>
    <w:p w14:paraId="15843A4C">
      <w:pPr>
        <w:pStyle w:val="199"/>
        <w:spacing w:line="360" w:lineRule="auto"/>
        <w:ind w:firstLine="422"/>
        <w:jc w:val="left"/>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说明：以上四项（标★项）为实质性要求，投标时提供以上响应服务内容并加盖投标人公章，未提供的按未实质性响应处理。</w:t>
      </w:r>
    </w:p>
    <w:p w14:paraId="7FD38A62">
      <w:pPr>
        <w:pStyle w:val="199"/>
        <w:spacing w:line="360" w:lineRule="auto"/>
        <w:ind w:firstLine="422"/>
        <w:jc w:val="left"/>
        <w:rPr>
          <w:rFonts w:ascii="宋体" w:hAnsi="宋体" w:cs="宋体"/>
          <w:b/>
          <w:color w:val="auto"/>
          <w:szCs w:val="21"/>
        </w:rPr>
      </w:pPr>
      <w:r>
        <w:rPr>
          <w:rFonts w:hint="eastAsia" w:ascii="宋体" w:hAnsi="宋体" w:cs="宋体"/>
          <w:b/>
          <w:color w:val="auto"/>
          <w:szCs w:val="21"/>
        </w:rPr>
        <w:t>五、其他要求</w:t>
      </w:r>
    </w:p>
    <w:p w14:paraId="25C030E3">
      <w:pPr>
        <w:pStyle w:val="199"/>
        <w:spacing w:line="360" w:lineRule="auto"/>
        <w:jc w:val="left"/>
        <w:rPr>
          <w:rFonts w:ascii="宋体" w:hAnsi="宋体" w:cs="宋体"/>
          <w:bCs/>
          <w:color w:val="auto"/>
          <w:szCs w:val="21"/>
        </w:rPr>
      </w:pPr>
      <w:r>
        <w:rPr>
          <w:rFonts w:hint="eastAsia" w:ascii="宋体" w:hAnsi="宋体" w:cs="宋体"/>
          <w:bCs/>
          <w:color w:val="auto"/>
          <w:szCs w:val="21"/>
        </w:rPr>
        <w:t>1.每季度提供各系统各账号使用情况分析报告1份；</w:t>
      </w:r>
    </w:p>
    <w:p w14:paraId="6DFD76FF">
      <w:pPr>
        <w:pStyle w:val="199"/>
        <w:spacing w:line="360" w:lineRule="auto"/>
        <w:jc w:val="left"/>
        <w:rPr>
          <w:rFonts w:ascii="宋体" w:hAnsi="宋体" w:cs="宋体"/>
          <w:bCs/>
          <w:color w:val="auto"/>
          <w:szCs w:val="21"/>
        </w:rPr>
      </w:pPr>
      <w:r>
        <w:rPr>
          <w:rFonts w:hint="eastAsia" w:ascii="宋体" w:hAnsi="宋体" w:cs="宋体"/>
          <w:bCs/>
          <w:color w:val="auto"/>
          <w:szCs w:val="21"/>
        </w:rPr>
        <w:t>2.服务期内盐城地区各级公安机关追加购买账号单价不高于本项目成交单价。</w:t>
      </w:r>
    </w:p>
    <w:p w14:paraId="4F823F1A">
      <w:pPr>
        <w:rPr>
          <w:rFonts w:ascii="宋体" w:hAnsi="宋体" w:eastAsia="宋体" w:cs="宋体"/>
          <w:color w:val="auto"/>
          <w:szCs w:val="21"/>
        </w:rPr>
      </w:pPr>
      <w:r>
        <w:rPr>
          <w:rFonts w:hint="eastAsia" w:ascii="宋体" w:hAnsi="宋体" w:eastAsia="宋体" w:cs="宋体"/>
          <w:color w:val="auto"/>
          <w:szCs w:val="21"/>
        </w:rPr>
        <w:br w:type="page" w:clear="all"/>
      </w:r>
    </w:p>
    <w:p w14:paraId="62556E30">
      <w:pPr>
        <w:pStyle w:val="34"/>
        <w:ind w:firstLine="0"/>
        <w:jc w:val="center"/>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采购4包：互联网大数据智能研判系统技术服务</w:t>
      </w:r>
    </w:p>
    <w:p w14:paraId="6F93846A">
      <w:pPr>
        <w:spacing w:line="360" w:lineRule="auto"/>
        <w:ind w:firstLine="420"/>
        <w:jc w:val="left"/>
        <w:rPr>
          <w:rFonts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提供包括互联网终端设备标签信息、**WZ信息、同网关系人信息、APP应用信息等。依托于互联网大数据平台，针对业务亟需的设备特征等进行提取、挖掘。通过时提供银联接口，可查询SJ所关联的额银联卡绑定和消费信息等。</w:t>
      </w:r>
    </w:p>
    <w:p w14:paraId="08EA5F55">
      <w:pPr>
        <w:numPr>
          <w:ilvl w:val="0"/>
          <w:numId w:val="8"/>
        </w:numPr>
        <w:spacing w:line="360" w:lineRule="auto"/>
        <w:ind w:left="420"/>
        <w:jc w:val="left"/>
        <w:rPr>
          <w:rFonts w:ascii="宋体" w:hAnsi="宋体" w:eastAsia="宋体" w:cs="宋体"/>
          <w:color w:val="auto"/>
          <w:szCs w:val="21"/>
        </w:rPr>
      </w:pPr>
      <w:r>
        <w:rPr>
          <w:rFonts w:hint="eastAsia" w:ascii="宋体" w:hAnsi="宋体" w:eastAsia="宋体" w:cs="宋体"/>
          <w:color w:val="auto"/>
          <w:szCs w:val="21"/>
        </w:rPr>
        <w:t>功能参数及主要商务条款</w:t>
      </w:r>
    </w:p>
    <w:p w14:paraId="6F6C3BCF">
      <w:pPr>
        <w:pStyle w:val="199"/>
        <w:widowControl/>
        <w:spacing w:line="360" w:lineRule="auto"/>
        <w:jc w:val="left"/>
        <w:rPr>
          <w:rFonts w:ascii="宋体" w:hAnsi="宋体" w:cs="宋体"/>
          <w:b/>
          <w:color w:val="auto"/>
          <w:szCs w:val="21"/>
        </w:rPr>
      </w:pPr>
      <w:r>
        <w:rPr>
          <w:rFonts w:hint="eastAsia" w:ascii="宋体" w:hAnsi="宋体" w:cs="宋体"/>
          <w:color w:val="auto"/>
          <w:szCs w:val="21"/>
          <w:shd w:val="clear" w:color="auto" w:fill="FFFFFF"/>
        </w:rPr>
        <w:t>如有需要具体功能详细说明，请与采购联系人联系</w:t>
      </w:r>
    </w:p>
    <w:p w14:paraId="5C4B1D1B">
      <w:pPr>
        <w:spacing w:line="360" w:lineRule="auto"/>
        <w:ind w:firstLine="420"/>
        <w:jc w:val="left"/>
        <w:rPr>
          <w:rFonts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提供类似全景系统功能的智能研判平台账号5个以及数据接口，服务期1年。</w:t>
      </w:r>
    </w:p>
    <w:tbl>
      <w:tblPr>
        <w:tblStyle w:val="35"/>
        <w:tblW w:w="4992" w:type="pct"/>
        <w:jc w:val="center"/>
        <w:tblLayout w:type="fixed"/>
        <w:tblCellMar>
          <w:top w:w="0" w:type="dxa"/>
          <w:left w:w="108" w:type="dxa"/>
          <w:bottom w:w="0" w:type="dxa"/>
          <w:right w:w="108" w:type="dxa"/>
        </w:tblCellMar>
      </w:tblPr>
      <w:tblGrid>
        <w:gridCol w:w="601"/>
        <w:gridCol w:w="682"/>
        <w:gridCol w:w="6425"/>
        <w:gridCol w:w="600"/>
        <w:gridCol w:w="600"/>
      </w:tblGrid>
      <w:tr w14:paraId="3E650BF7">
        <w:tblPrEx>
          <w:tblCellMar>
            <w:top w:w="0" w:type="dxa"/>
            <w:left w:w="108" w:type="dxa"/>
            <w:bottom w:w="0" w:type="dxa"/>
            <w:right w:w="108" w:type="dxa"/>
          </w:tblCellMar>
        </w:tblPrEx>
        <w:trPr>
          <w:trHeight w:val="270" w:hRule="atLeast"/>
          <w:jc w:val="center"/>
        </w:trPr>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B29DAD3">
            <w:pPr>
              <w:widowControl/>
              <w:spacing w:line="300" w:lineRule="exact"/>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8F0AF81">
            <w:pPr>
              <w:widowControl/>
              <w:spacing w:line="300" w:lineRule="exact"/>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360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CCC4BF8">
            <w:pPr>
              <w:widowControl/>
              <w:spacing w:line="300" w:lineRule="exact"/>
              <w:jc w:val="center"/>
              <w:rPr>
                <w:rFonts w:ascii="宋体" w:hAnsi="宋体" w:eastAsia="宋体" w:cs="宋体"/>
                <w:b/>
                <w:bCs/>
                <w:color w:val="auto"/>
                <w:szCs w:val="21"/>
              </w:rPr>
            </w:pPr>
            <w:r>
              <w:rPr>
                <w:rFonts w:hint="eastAsia" w:ascii="宋体" w:hAnsi="宋体" w:eastAsia="宋体" w:cs="宋体"/>
                <w:b/>
                <w:bCs/>
                <w:color w:val="auto"/>
                <w:szCs w:val="21"/>
              </w:rPr>
              <w:t>技术参数</w:t>
            </w: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932B5D6">
            <w:pPr>
              <w:widowControl/>
              <w:spacing w:line="300" w:lineRule="exact"/>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337"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03066D6F">
            <w:pPr>
              <w:widowControl/>
              <w:spacing w:line="300" w:lineRule="exact"/>
              <w:jc w:val="center"/>
              <w:rPr>
                <w:rFonts w:ascii="宋体" w:hAnsi="宋体" w:eastAsia="宋体" w:cs="宋体"/>
                <w:b/>
                <w:bCs/>
                <w:color w:val="auto"/>
                <w:szCs w:val="21"/>
              </w:rPr>
            </w:pPr>
            <w:r>
              <w:rPr>
                <w:rFonts w:hint="eastAsia" w:ascii="宋体" w:hAnsi="宋体" w:eastAsia="宋体" w:cs="宋体"/>
                <w:b/>
                <w:bCs/>
                <w:color w:val="auto"/>
                <w:szCs w:val="21"/>
              </w:rPr>
              <w:t>单位</w:t>
            </w:r>
          </w:p>
        </w:tc>
      </w:tr>
      <w:tr w14:paraId="632640B1">
        <w:tblPrEx>
          <w:tblCellMar>
            <w:top w:w="0" w:type="dxa"/>
            <w:left w:w="108" w:type="dxa"/>
            <w:bottom w:w="0" w:type="dxa"/>
            <w:right w:w="108" w:type="dxa"/>
          </w:tblCellMar>
        </w:tblPrEx>
        <w:trPr>
          <w:trHeight w:val="274" w:hRule="atLeast"/>
          <w:jc w:val="center"/>
        </w:trPr>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2816CC1">
            <w:pPr>
              <w:widowControl/>
              <w:spacing w:before="240" w:line="300" w:lineRule="exact"/>
              <w:jc w:val="center"/>
              <w:rPr>
                <w:rFonts w:ascii="宋体" w:hAnsi="宋体" w:eastAsia="宋体" w:cs="宋体"/>
                <w:color w:val="auto"/>
                <w:szCs w:val="21"/>
              </w:rPr>
            </w:pPr>
            <w:r>
              <w:rPr>
                <w:rFonts w:hint="eastAsia" w:ascii="宋体" w:hAnsi="宋体" w:eastAsia="宋体" w:cs="宋体"/>
                <w:color w:val="auto"/>
                <w:szCs w:val="21"/>
              </w:rPr>
              <w:t>1</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763FA6A">
            <w:pPr>
              <w:widowControl/>
              <w:spacing w:before="240" w:line="300" w:lineRule="exact"/>
              <w:jc w:val="left"/>
              <w:rPr>
                <w:rFonts w:ascii="宋体" w:hAnsi="宋体" w:eastAsia="宋体" w:cs="宋体"/>
                <w:color w:val="auto"/>
                <w:szCs w:val="21"/>
              </w:rPr>
            </w:pPr>
            <w:r>
              <w:rPr>
                <w:rFonts w:hint="eastAsia" w:ascii="宋体" w:hAnsi="宋体" w:eastAsia="宋体" w:cs="宋体"/>
                <w:color w:val="auto"/>
                <w:szCs w:val="21"/>
              </w:rPr>
              <w:t>互联网大数据智能研判系统技术服务</w:t>
            </w:r>
          </w:p>
        </w:tc>
        <w:tc>
          <w:tcPr>
            <w:tcW w:w="360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0828AA2">
            <w:pPr>
              <w:jc w:val="left"/>
              <w:rPr>
                <w:rFonts w:ascii="宋体" w:hAnsi="宋体" w:eastAsia="宋体" w:cs="宋体"/>
                <w:color w:val="auto"/>
                <w:szCs w:val="21"/>
              </w:rPr>
            </w:pPr>
            <w:r>
              <w:rPr>
                <w:rFonts w:hint="eastAsia" w:ascii="宋体" w:hAnsi="宋体" w:eastAsia="宋体" w:cs="宋体"/>
                <w:color w:val="auto"/>
                <w:szCs w:val="21"/>
              </w:rPr>
              <w:t>（1）服务通过SaaS化版本的载体软件提供5个许可账号，本地无需部署业务系统，同时采用VPN加密方式进行安全登录，服务周期为12个月，每个账号全息档案查询次数不少于1万次。</w:t>
            </w:r>
          </w:p>
          <w:p w14:paraId="31A656D9">
            <w:pPr>
              <w:jc w:val="left"/>
              <w:rPr>
                <w:rFonts w:ascii="宋体" w:hAnsi="宋体" w:eastAsia="宋体" w:cs="宋体"/>
                <w:color w:val="auto"/>
                <w:szCs w:val="21"/>
              </w:rPr>
            </w:pPr>
            <w:r>
              <w:rPr>
                <w:rFonts w:hint="eastAsia" w:ascii="宋体" w:hAnsi="宋体" w:eastAsia="宋体" w:cs="宋体"/>
                <w:color w:val="auto"/>
                <w:szCs w:val="21"/>
              </w:rPr>
              <w:t>（2）特侦码查询</w:t>
            </w:r>
          </w:p>
          <w:p w14:paraId="44E605E6">
            <w:pPr>
              <w:jc w:val="left"/>
              <w:rPr>
                <w:rFonts w:ascii="宋体" w:hAnsi="宋体" w:eastAsia="宋体" w:cs="宋体"/>
                <w:color w:val="auto"/>
                <w:szCs w:val="21"/>
              </w:rPr>
            </w:pPr>
            <w:r>
              <w:rPr>
                <w:rFonts w:hint="eastAsia" w:ascii="宋体" w:hAnsi="宋体" w:eastAsia="宋体" w:cs="宋体"/>
                <w:color w:val="auto"/>
                <w:szCs w:val="21"/>
              </w:rPr>
              <w:t>（3）常连WIFI查询</w:t>
            </w:r>
          </w:p>
          <w:p w14:paraId="37E80A17">
            <w:pPr>
              <w:jc w:val="left"/>
              <w:rPr>
                <w:rFonts w:ascii="宋体" w:hAnsi="宋体" w:eastAsia="宋体" w:cs="宋体"/>
                <w:color w:val="auto"/>
                <w:szCs w:val="21"/>
              </w:rPr>
            </w:pPr>
            <w:r>
              <w:rPr>
                <w:rFonts w:hint="eastAsia" w:ascii="宋体" w:hAnsi="宋体" w:eastAsia="宋体" w:cs="宋体"/>
                <w:color w:val="auto"/>
                <w:szCs w:val="21"/>
              </w:rPr>
              <w:t>（4）设备应用查询</w:t>
            </w:r>
          </w:p>
          <w:p w14:paraId="74E83337">
            <w:pPr>
              <w:jc w:val="left"/>
              <w:rPr>
                <w:rFonts w:ascii="宋体" w:hAnsi="宋体" w:eastAsia="宋体" w:cs="宋体"/>
                <w:color w:val="auto"/>
                <w:szCs w:val="21"/>
              </w:rPr>
            </w:pPr>
            <w:r>
              <w:rPr>
                <w:rFonts w:hint="eastAsia" w:ascii="宋体" w:hAnsi="宋体" w:eastAsia="宋体" w:cs="宋体"/>
                <w:color w:val="auto"/>
                <w:szCs w:val="21"/>
              </w:rPr>
              <w:t>（5）无线网络查询分析</w:t>
            </w:r>
          </w:p>
          <w:p w14:paraId="185DE89D">
            <w:pPr>
              <w:jc w:val="left"/>
              <w:rPr>
                <w:rFonts w:ascii="宋体" w:hAnsi="宋体" w:eastAsia="宋体" w:cs="宋体"/>
                <w:color w:val="auto"/>
                <w:szCs w:val="21"/>
              </w:rPr>
            </w:pPr>
            <w:r>
              <w:rPr>
                <w:rFonts w:hint="eastAsia" w:ascii="宋体" w:hAnsi="宋体" w:eastAsia="宋体" w:cs="宋体"/>
                <w:color w:val="auto"/>
                <w:szCs w:val="21"/>
              </w:rPr>
              <w:t>（6）应用安装设备分析</w:t>
            </w:r>
          </w:p>
          <w:p w14:paraId="7238CC03">
            <w:pPr>
              <w:jc w:val="left"/>
              <w:rPr>
                <w:rFonts w:ascii="宋体" w:hAnsi="宋体" w:eastAsia="宋体" w:cs="宋体"/>
                <w:color w:val="auto"/>
                <w:szCs w:val="21"/>
              </w:rPr>
            </w:pPr>
            <w:r>
              <w:rPr>
                <w:rFonts w:hint="eastAsia" w:ascii="宋体" w:hAnsi="宋体" w:eastAsia="宋体" w:cs="宋体"/>
                <w:color w:val="auto"/>
                <w:szCs w:val="21"/>
              </w:rPr>
              <w:t>（7）建模推送</w:t>
            </w:r>
          </w:p>
          <w:p w14:paraId="62021791">
            <w:pPr>
              <w:jc w:val="left"/>
              <w:rPr>
                <w:rFonts w:ascii="宋体" w:hAnsi="宋体" w:eastAsia="宋体" w:cs="宋体"/>
                <w:color w:val="auto"/>
                <w:szCs w:val="21"/>
              </w:rPr>
            </w:pPr>
            <w:r>
              <w:rPr>
                <w:rFonts w:hint="eastAsia" w:ascii="宋体" w:hAnsi="宋体" w:eastAsia="宋体" w:cs="宋体"/>
                <w:color w:val="auto"/>
                <w:szCs w:val="21"/>
              </w:rPr>
              <w:t>（8）区域查询</w:t>
            </w:r>
          </w:p>
          <w:p w14:paraId="34D63C2C">
            <w:pPr>
              <w:jc w:val="left"/>
              <w:rPr>
                <w:rFonts w:ascii="宋体" w:hAnsi="宋体" w:eastAsia="宋体" w:cs="宋体"/>
                <w:color w:val="auto"/>
                <w:szCs w:val="21"/>
              </w:rPr>
            </w:pPr>
            <w:r>
              <w:rPr>
                <w:rFonts w:hint="eastAsia" w:ascii="宋体" w:hAnsi="宋体" w:eastAsia="宋体" w:cs="宋体"/>
                <w:color w:val="auto"/>
                <w:szCs w:val="21"/>
              </w:rPr>
              <w:t>（9）APK解析</w:t>
            </w:r>
          </w:p>
          <w:p w14:paraId="0957B961">
            <w:pPr>
              <w:jc w:val="left"/>
              <w:rPr>
                <w:rFonts w:ascii="宋体" w:hAnsi="宋体" w:eastAsia="宋体" w:cs="宋体"/>
                <w:color w:val="auto"/>
                <w:szCs w:val="21"/>
              </w:rPr>
            </w:pPr>
            <w:r>
              <w:rPr>
                <w:rFonts w:hint="eastAsia" w:ascii="宋体" w:hAnsi="宋体" w:eastAsia="宋体" w:cs="宋体"/>
                <w:color w:val="auto"/>
                <w:szCs w:val="21"/>
              </w:rPr>
              <w:t>（10）SFZ查询</w:t>
            </w:r>
          </w:p>
          <w:p w14:paraId="7EFB9192">
            <w:pPr>
              <w:jc w:val="left"/>
              <w:rPr>
                <w:rFonts w:ascii="宋体" w:hAnsi="宋体" w:eastAsia="宋体" w:cs="宋体"/>
                <w:color w:val="auto"/>
                <w:szCs w:val="21"/>
              </w:rPr>
            </w:pPr>
            <w:r>
              <w:rPr>
                <w:rFonts w:hint="eastAsia" w:ascii="宋体" w:hAnsi="宋体" w:eastAsia="宋体" w:cs="宋体"/>
                <w:color w:val="auto"/>
                <w:szCs w:val="21"/>
              </w:rPr>
              <w:t>（11）SJ号类型状态查询</w:t>
            </w:r>
          </w:p>
          <w:p w14:paraId="1B2045C3">
            <w:pPr>
              <w:jc w:val="left"/>
              <w:rPr>
                <w:rFonts w:ascii="宋体" w:hAnsi="宋体" w:eastAsia="宋体" w:cs="宋体"/>
                <w:color w:val="auto"/>
                <w:szCs w:val="21"/>
              </w:rPr>
            </w:pPr>
            <w:r>
              <w:rPr>
                <w:rFonts w:hint="eastAsia" w:ascii="宋体" w:hAnsi="宋体" w:eastAsia="宋体" w:cs="宋体"/>
                <w:color w:val="auto"/>
                <w:szCs w:val="21"/>
              </w:rPr>
              <w:t>（12）多应用、多区域关联查询</w:t>
            </w:r>
          </w:p>
          <w:p w14:paraId="303BCE93">
            <w:pPr>
              <w:jc w:val="left"/>
              <w:rPr>
                <w:rFonts w:ascii="宋体" w:hAnsi="宋体" w:eastAsia="宋体" w:cs="宋体"/>
                <w:color w:val="auto"/>
                <w:szCs w:val="21"/>
              </w:rPr>
            </w:pPr>
            <w:r>
              <w:rPr>
                <w:rFonts w:hint="eastAsia" w:ascii="宋体" w:hAnsi="宋体" w:eastAsia="宋体" w:cs="宋体"/>
                <w:color w:val="auto"/>
                <w:szCs w:val="21"/>
              </w:rPr>
              <w:t>（13）多维设备筛选</w:t>
            </w:r>
          </w:p>
          <w:p w14:paraId="16ECDFEB">
            <w:pPr>
              <w:jc w:val="left"/>
              <w:rPr>
                <w:rFonts w:ascii="宋体" w:hAnsi="宋体" w:eastAsia="宋体" w:cs="宋体"/>
                <w:color w:val="auto"/>
                <w:szCs w:val="21"/>
              </w:rPr>
            </w:pPr>
            <w:r>
              <w:rPr>
                <w:rFonts w:hint="eastAsia" w:ascii="宋体" w:hAnsi="宋体" w:eastAsia="宋体" w:cs="宋体"/>
                <w:color w:val="auto"/>
                <w:szCs w:val="21"/>
              </w:rPr>
              <w:t>（14）关注设备预警</w:t>
            </w: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7A58A6C">
            <w:pPr>
              <w:widowControl/>
              <w:spacing w:before="240" w:line="300" w:lineRule="exact"/>
              <w:jc w:val="center"/>
              <w:rPr>
                <w:rFonts w:ascii="宋体" w:hAnsi="宋体" w:eastAsia="宋体" w:cs="宋体"/>
                <w:color w:val="auto"/>
                <w:szCs w:val="21"/>
              </w:rPr>
            </w:pPr>
            <w:r>
              <w:rPr>
                <w:rFonts w:hint="eastAsia" w:ascii="宋体" w:hAnsi="宋体" w:eastAsia="宋体" w:cs="宋体"/>
                <w:color w:val="auto"/>
                <w:szCs w:val="21"/>
              </w:rPr>
              <w:t>1</w:t>
            </w:r>
          </w:p>
        </w:tc>
        <w:tc>
          <w:tcPr>
            <w:tcW w:w="337"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2C2EDB3B">
            <w:pPr>
              <w:widowControl/>
              <w:spacing w:before="240" w:line="300" w:lineRule="exact"/>
              <w:jc w:val="center"/>
              <w:rPr>
                <w:rFonts w:ascii="宋体" w:hAnsi="宋体" w:eastAsia="宋体" w:cs="宋体"/>
                <w:color w:val="auto"/>
                <w:szCs w:val="21"/>
              </w:rPr>
            </w:pPr>
            <w:r>
              <w:rPr>
                <w:rFonts w:hint="eastAsia" w:ascii="宋体" w:hAnsi="宋体" w:eastAsia="宋体" w:cs="宋体"/>
                <w:color w:val="auto"/>
                <w:szCs w:val="21"/>
              </w:rPr>
              <w:t>项</w:t>
            </w:r>
          </w:p>
        </w:tc>
      </w:tr>
      <w:tr w14:paraId="17E96BA4">
        <w:tblPrEx>
          <w:tblCellMar>
            <w:top w:w="0" w:type="dxa"/>
            <w:left w:w="108" w:type="dxa"/>
            <w:bottom w:w="0" w:type="dxa"/>
            <w:right w:w="108" w:type="dxa"/>
          </w:tblCellMar>
        </w:tblPrEx>
        <w:trPr>
          <w:trHeight w:val="274" w:hRule="atLeast"/>
          <w:jc w:val="center"/>
        </w:trPr>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4C22996">
            <w:pPr>
              <w:widowControl/>
              <w:spacing w:line="300" w:lineRule="exact"/>
              <w:jc w:val="center"/>
              <w:rPr>
                <w:rFonts w:ascii="宋体" w:hAnsi="宋体" w:eastAsia="宋体" w:cs="宋体"/>
                <w:color w:val="auto"/>
                <w:szCs w:val="21"/>
              </w:rPr>
            </w:pPr>
            <w:r>
              <w:rPr>
                <w:rFonts w:hint="eastAsia" w:ascii="宋体" w:hAnsi="宋体" w:eastAsia="宋体" w:cs="宋体"/>
                <w:color w:val="auto"/>
                <w:szCs w:val="21"/>
              </w:rPr>
              <w:t>2</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F6BDB35">
            <w:pPr>
              <w:widowControl/>
              <w:spacing w:line="300" w:lineRule="exact"/>
              <w:jc w:val="left"/>
              <w:rPr>
                <w:rFonts w:ascii="宋体" w:hAnsi="宋体" w:eastAsia="宋体" w:cs="宋体"/>
                <w:color w:val="auto"/>
                <w:szCs w:val="21"/>
              </w:rPr>
            </w:pPr>
            <w:r>
              <w:rPr>
                <w:rFonts w:hint="eastAsia" w:ascii="宋体" w:hAnsi="宋体" w:eastAsia="宋体" w:cs="宋体"/>
                <w:color w:val="auto"/>
                <w:szCs w:val="21"/>
              </w:rPr>
              <w:t>数据接口服务</w:t>
            </w:r>
          </w:p>
        </w:tc>
        <w:tc>
          <w:tcPr>
            <w:tcW w:w="360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374F2BB">
            <w:pPr>
              <w:jc w:val="left"/>
              <w:rPr>
                <w:rFonts w:ascii="宋体" w:hAnsi="宋体" w:eastAsia="宋体" w:cs="宋体"/>
                <w:color w:val="auto"/>
                <w:szCs w:val="21"/>
              </w:rPr>
            </w:pPr>
            <w:r>
              <w:rPr>
                <w:rFonts w:hint="eastAsia" w:ascii="宋体" w:hAnsi="宋体" w:eastAsia="宋体" w:cs="宋体"/>
                <w:color w:val="auto"/>
                <w:szCs w:val="21"/>
              </w:rPr>
              <w:t>以API接口形式提供数据服务，服务周期为12个月，查询次数不少于3万次。</w:t>
            </w:r>
          </w:p>
          <w:p w14:paraId="63BDA4A5">
            <w:pPr>
              <w:jc w:val="left"/>
              <w:rPr>
                <w:rFonts w:ascii="宋体" w:hAnsi="宋体" w:eastAsia="宋体" w:cs="宋体"/>
                <w:color w:val="auto"/>
                <w:szCs w:val="21"/>
              </w:rPr>
            </w:pPr>
            <w:r>
              <w:rPr>
                <w:rFonts w:hint="eastAsia" w:ascii="宋体" w:hAnsi="宋体" w:eastAsia="宋体" w:cs="宋体"/>
                <w:color w:val="auto"/>
                <w:szCs w:val="21"/>
              </w:rPr>
              <w:t>（1）设备档案</w:t>
            </w:r>
          </w:p>
          <w:p w14:paraId="52535166">
            <w:pPr>
              <w:jc w:val="left"/>
              <w:rPr>
                <w:rFonts w:ascii="宋体" w:hAnsi="宋体" w:eastAsia="宋体" w:cs="宋体"/>
                <w:color w:val="auto"/>
                <w:szCs w:val="21"/>
              </w:rPr>
            </w:pPr>
            <w:r>
              <w:rPr>
                <w:rFonts w:hint="eastAsia" w:ascii="宋体" w:hAnsi="宋体" w:eastAsia="宋体" w:cs="宋体"/>
                <w:color w:val="auto"/>
                <w:szCs w:val="21"/>
              </w:rPr>
              <w:t>（2）WIFI档案</w:t>
            </w:r>
          </w:p>
          <w:p w14:paraId="5A440DC7">
            <w:pPr>
              <w:jc w:val="left"/>
              <w:rPr>
                <w:rFonts w:ascii="宋体" w:hAnsi="宋体" w:eastAsia="宋体" w:cs="宋体"/>
                <w:color w:val="auto"/>
                <w:szCs w:val="21"/>
              </w:rPr>
            </w:pPr>
            <w:r>
              <w:rPr>
                <w:rFonts w:hint="eastAsia" w:ascii="宋体" w:hAnsi="宋体" w:eastAsia="宋体" w:cs="宋体"/>
                <w:color w:val="auto"/>
                <w:szCs w:val="21"/>
              </w:rPr>
              <w:t>（3）IP档案</w:t>
            </w:r>
          </w:p>
          <w:p w14:paraId="34F35D79">
            <w:pPr>
              <w:jc w:val="left"/>
              <w:rPr>
                <w:rFonts w:ascii="宋体" w:hAnsi="宋体" w:eastAsia="宋体" w:cs="宋体"/>
                <w:color w:val="auto"/>
                <w:szCs w:val="21"/>
              </w:rPr>
            </w:pPr>
            <w:r>
              <w:rPr>
                <w:rFonts w:hint="eastAsia" w:ascii="宋体" w:hAnsi="宋体" w:eastAsia="宋体" w:cs="宋体"/>
                <w:color w:val="auto"/>
                <w:szCs w:val="21"/>
              </w:rPr>
              <w:t>（4）实人线索</w:t>
            </w:r>
          </w:p>
          <w:p w14:paraId="53403C2B">
            <w:pPr>
              <w:jc w:val="left"/>
              <w:rPr>
                <w:rFonts w:ascii="宋体" w:hAnsi="宋体" w:eastAsia="宋体" w:cs="宋体"/>
                <w:color w:val="auto"/>
                <w:szCs w:val="21"/>
              </w:rPr>
            </w:pPr>
            <w:r>
              <w:rPr>
                <w:rFonts w:hint="eastAsia" w:ascii="宋体" w:hAnsi="宋体" w:eastAsia="宋体" w:cs="宋体"/>
                <w:color w:val="auto"/>
                <w:szCs w:val="21"/>
              </w:rPr>
              <w:t>（5）ZF洞察（含线下JY、ZZ线索（YSF）、JY线索等）</w:t>
            </w: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270B9B4">
            <w:pPr>
              <w:widowControl/>
              <w:spacing w:line="300" w:lineRule="exact"/>
              <w:jc w:val="center"/>
              <w:rPr>
                <w:rFonts w:ascii="宋体" w:hAnsi="宋体" w:eastAsia="宋体" w:cs="宋体"/>
                <w:color w:val="auto"/>
                <w:szCs w:val="21"/>
              </w:rPr>
            </w:pPr>
            <w:r>
              <w:rPr>
                <w:rFonts w:hint="eastAsia" w:ascii="宋体" w:hAnsi="宋体" w:eastAsia="宋体" w:cs="宋体"/>
                <w:color w:val="auto"/>
                <w:szCs w:val="21"/>
              </w:rPr>
              <w:t>1</w:t>
            </w:r>
          </w:p>
        </w:tc>
        <w:tc>
          <w:tcPr>
            <w:tcW w:w="337"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1E7C8123">
            <w:pPr>
              <w:widowControl/>
              <w:spacing w:line="300" w:lineRule="exact"/>
              <w:jc w:val="center"/>
              <w:rPr>
                <w:rFonts w:ascii="宋体" w:hAnsi="宋体" w:eastAsia="宋体" w:cs="宋体"/>
                <w:color w:val="auto"/>
                <w:szCs w:val="21"/>
              </w:rPr>
            </w:pPr>
            <w:r>
              <w:rPr>
                <w:rFonts w:hint="eastAsia" w:ascii="宋体" w:hAnsi="宋体" w:eastAsia="宋体" w:cs="宋体"/>
                <w:color w:val="auto"/>
                <w:szCs w:val="21"/>
              </w:rPr>
              <w:t>项</w:t>
            </w:r>
          </w:p>
        </w:tc>
      </w:tr>
    </w:tbl>
    <w:p w14:paraId="1A8FE722">
      <w:pPr>
        <w:pStyle w:val="199"/>
        <w:spacing w:line="360" w:lineRule="auto"/>
        <w:ind w:firstLine="422"/>
        <w:jc w:val="left"/>
        <w:rPr>
          <w:rFonts w:ascii="宋体" w:hAnsi="宋体" w:cs="宋体"/>
          <w:b/>
          <w:color w:val="auto"/>
          <w:szCs w:val="21"/>
        </w:rPr>
      </w:pPr>
      <w:r>
        <w:rPr>
          <w:rFonts w:hint="eastAsia" w:ascii="宋体" w:hAnsi="宋体" w:cs="宋体"/>
          <w:b/>
          <w:color w:val="auto"/>
          <w:szCs w:val="21"/>
        </w:rPr>
        <w:t>二、售后服务要求</w:t>
      </w:r>
    </w:p>
    <w:p w14:paraId="1E9B8F47">
      <w:pPr>
        <w:pStyle w:val="199"/>
        <w:spacing w:line="360" w:lineRule="auto"/>
        <w:jc w:val="left"/>
        <w:rPr>
          <w:rFonts w:ascii="宋体" w:hAnsi="宋体" w:cs="宋体"/>
          <w:bCs/>
          <w:color w:val="auto"/>
          <w:szCs w:val="21"/>
        </w:rPr>
      </w:pPr>
      <w:r>
        <w:rPr>
          <w:rFonts w:hint="eastAsia" w:ascii="宋体" w:hAnsi="宋体" w:cs="宋体"/>
          <w:bCs/>
          <w:color w:val="auto"/>
          <w:szCs w:val="21"/>
        </w:rPr>
        <w:t>★1.中标人应提供售后服务承诺书、联系人和联系电话，能够长期提供良好的技术支持。</w:t>
      </w:r>
    </w:p>
    <w:p w14:paraId="13D499DF">
      <w:pPr>
        <w:pStyle w:val="199"/>
        <w:spacing w:line="360" w:lineRule="auto"/>
        <w:jc w:val="left"/>
        <w:rPr>
          <w:rFonts w:ascii="宋体" w:hAnsi="宋体" w:cs="宋体"/>
          <w:bCs/>
          <w:color w:val="auto"/>
          <w:szCs w:val="21"/>
        </w:rPr>
      </w:pPr>
      <w:r>
        <w:rPr>
          <w:rFonts w:hint="eastAsia" w:ascii="宋体" w:hAnsi="宋体" w:cs="宋体"/>
          <w:bCs/>
          <w:color w:val="auto"/>
          <w:szCs w:val="21"/>
        </w:rPr>
        <w:t>★2.服务响应时间要求：提供7×24小时电话响应服务，响应时间为1小时。</w:t>
      </w:r>
    </w:p>
    <w:p w14:paraId="56AE2331">
      <w:pPr>
        <w:pStyle w:val="199"/>
        <w:spacing w:line="360" w:lineRule="auto"/>
        <w:jc w:val="left"/>
        <w:rPr>
          <w:rFonts w:ascii="宋体" w:hAnsi="宋体" w:cs="宋体"/>
          <w:bCs/>
          <w:color w:val="auto"/>
          <w:szCs w:val="21"/>
        </w:rPr>
      </w:pPr>
      <w:r>
        <w:rPr>
          <w:rFonts w:hint="eastAsia" w:ascii="宋体" w:hAnsi="宋体" w:cs="宋体"/>
          <w:bCs/>
          <w:color w:val="auto"/>
          <w:szCs w:val="21"/>
        </w:rPr>
        <w:t>★3.中标人应能提供多种形式的技术支持服务，解决软件出现的技术问题。</w:t>
      </w:r>
    </w:p>
    <w:p w14:paraId="6BE9B5A8">
      <w:pPr>
        <w:pStyle w:val="199"/>
        <w:spacing w:line="360" w:lineRule="auto"/>
        <w:jc w:val="left"/>
        <w:rPr>
          <w:rFonts w:ascii="宋体" w:hAnsi="宋体" w:cs="宋体"/>
          <w:bCs/>
          <w:color w:val="auto"/>
          <w:szCs w:val="21"/>
        </w:rPr>
      </w:pPr>
      <w:r>
        <w:rPr>
          <w:rFonts w:hint="eastAsia" w:ascii="宋体" w:hAnsi="宋体" w:cs="宋体"/>
          <w:bCs/>
          <w:color w:val="auto"/>
          <w:szCs w:val="21"/>
        </w:rPr>
        <w:t>★4.投标人应按其投标文件中的承诺，进行其他售后服务工作。</w:t>
      </w:r>
    </w:p>
    <w:p w14:paraId="1D9EC5B7">
      <w:pPr>
        <w:pStyle w:val="199"/>
        <w:spacing w:line="360" w:lineRule="auto"/>
        <w:ind w:firstLine="422"/>
        <w:jc w:val="left"/>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说明：以上四项（标★项）为实质性要求，投标时提供以上响应承诺函加盖投标人公章（格式自拟），未提供的按未实质性响应处理。</w:t>
      </w:r>
    </w:p>
    <w:p w14:paraId="1C7A39FC">
      <w:pPr>
        <w:pStyle w:val="199"/>
        <w:spacing w:line="360" w:lineRule="auto"/>
        <w:ind w:firstLine="422"/>
        <w:jc w:val="left"/>
        <w:rPr>
          <w:rFonts w:ascii="宋体" w:hAnsi="宋体" w:cs="宋体"/>
          <w:b/>
          <w:color w:val="auto"/>
          <w:szCs w:val="21"/>
        </w:rPr>
      </w:pPr>
      <w:r>
        <w:rPr>
          <w:rFonts w:hint="eastAsia" w:ascii="宋体" w:hAnsi="宋体" w:cs="宋体"/>
          <w:b/>
          <w:color w:val="auto"/>
          <w:szCs w:val="21"/>
        </w:rPr>
        <w:t>三、验收说明</w:t>
      </w:r>
    </w:p>
    <w:p w14:paraId="528B3034">
      <w:pPr>
        <w:pStyle w:val="199"/>
        <w:spacing w:line="360" w:lineRule="auto"/>
        <w:jc w:val="left"/>
        <w:rPr>
          <w:rFonts w:ascii="宋体" w:hAnsi="宋体" w:cs="宋体"/>
          <w:bCs/>
          <w:color w:val="auto"/>
          <w:szCs w:val="21"/>
        </w:rPr>
      </w:pPr>
      <w:r>
        <w:rPr>
          <w:rFonts w:hint="eastAsia" w:ascii="宋体" w:hAnsi="宋体" w:cs="宋体"/>
          <w:bCs/>
          <w:color w:val="auto"/>
          <w:szCs w:val="21"/>
        </w:rPr>
        <w:t>按照招标文件规定的技术、服务等要求由采购人组织对中标人履约的验收。</w:t>
      </w:r>
    </w:p>
    <w:p w14:paraId="4A39FE0F">
      <w:pPr>
        <w:pStyle w:val="199"/>
        <w:spacing w:line="360" w:lineRule="auto"/>
        <w:ind w:firstLine="422"/>
        <w:jc w:val="left"/>
        <w:rPr>
          <w:rFonts w:ascii="宋体" w:hAnsi="宋体" w:cs="宋体"/>
          <w:b/>
          <w:color w:val="auto"/>
          <w:szCs w:val="21"/>
        </w:rPr>
      </w:pPr>
      <w:r>
        <w:rPr>
          <w:rFonts w:hint="eastAsia" w:ascii="宋体" w:hAnsi="宋体" w:cs="宋体"/>
          <w:b/>
          <w:color w:val="auto"/>
          <w:szCs w:val="21"/>
        </w:rPr>
        <w:t>四、投标要求</w:t>
      </w:r>
    </w:p>
    <w:p w14:paraId="182CAE83">
      <w:pPr>
        <w:pStyle w:val="199"/>
        <w:spacing w:line="360" w:lineRule="auto"/>
        <w:jc w:val="left"/>
        <w:rPr>
          <w:rFonts w:ascii="宋体" w:hAnsi="宋体" w:cs="宋体"/>
          <w:bCs/>
          <w:color w:val="auto"/>
          <w:szCs w:val="21"/>
        </w:rPr>
      </w:pPr>
      <w:r>
        <w:rPr>
          <w:rFonts w:hint="eastAsia" w:ascii="宋体" w:hAnsi="宋体" w:cs="宋体"/>
          <w:bCs/>
          <w:color w:val="auto"/>
          <w:szCs w:val="21"/>
        </w:rPr>
        <w:t>★1.投标人提供免费上门培训，有完善的培训计划，并附详细培训课程。</w:t>
      </w:r>
    </w:p>
    <w:p w14:paraId="184FCBC2">
      <w:pPr>
        <w:pStyle w:val="199"/>
        <w:spacing w:line="360" w:lineRule="auto"/>
        <w:jc w:val="left"/>
        <w:rPr>
          <w:rFonts w:ascii="宋体" w:hAnsi="宋体" w:cs="宋体"/>
          <w:bCs/>
          <w:color w:val="auto"/>
          <w:szCs w:val="21"/>
        </w:rPr>
      </w:pPr>
      <w:r>
        <w:rPr>
          <w:rFonts w:hint="eastAsia" w:ascii="宋体" w:hAnsi="宋体" w:cs="宋体"/>
          <w:bCs/>
          <w:color w:val="auto"/>
          <w:szCs w:val="21"/>
        </w:rPr>
        <w:t>★2.投标人提供技术资料完善，产品介绍详细，产品功能贴近实战。</w:t>
      </w:r>
    </w:p>
    <w:p w14:paraId="5AA8F389">
      <w:pPr>
        <w:pStyle w:val="199"/>
        <w:spacing w:line="360" w:lineRule="auto"/>
        <w:jc w:val="left"/>
        <w:rPr>
          <w:rFonts w:ascii="宋体" w:hAnsi="宋体" w:cs="宋体"/>
          <w:bCs/>
          <w:color w:val="auto"/>
          <w:szCs w:val="21"/>
        </w:rPr>
      </w:pPr>
      <w:r>
        <w:rPr>
          <w:rFonts w:hint="eastAsia" w:ascii="宋体" w:hAnsi="宋体" w:cs="宋体"/>
          <w:bCs/>
          <w:color w:val="auto"/>
          <w:szCs w:val="21"/>
        </w:rPr>
        <w:t>★3.售后服务方案具体、详细、合理可行，可操作性强。</w:t>
      </w:r>
    </w:p>
    <w:p w14:paraId="79A27DED">
      <w:pPr>
        <w:ind w:firstLine="420"/>
        <w:jc w:val="left"/>
        <w:rPr>
          <w:rFonts w:ascii="宋体" w:hAnsi="宋体" w:eastAsia="宋体" w:cs="宋体"/>
          <w:bCs/>
          <w:color w:val="auto"/>
          <w:szCs w:val="21"/>
        </w:rPr>
      </w:pPr>
      <w:r>
        <w:rPr>
          <w:rFonts w:hint="eastAsia" w:ascii="宋体" w:hAnsi="宋体" w:eastAsia="宋体" w:cs="宋体"/>
          <w:bCs/>
          <w:color w:val="auto"/>
          <w:szCs w:val="21"/>
        </w:rPr>
        <w:t>★4.内网内运行，且使用人员需公安数字证书验证登录。</w:t>
      </w:r>
    </w:p>
    <w:p w14:paraId="57126DB3">
      <w:pPr>
        <w:pStyle w:val="199"/>
        <w:spacing w:line="360" w:lineRule="auto"/>
        <w:ind w:firstLine="422"/>
        <w:jc w:val="left"/>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说明：以上四项（标★项）为实质性要求，投标时提供以上响应服务内容并加盖投标人公章，未提供的按未实质性响应处理。</w:t>
      </w:r>
    </w:p>
    <w:p w14:paraId="6AD198CC">
      <w:pPr>
        <w:pStyle w:val="199"/>
        <w:spacing w:line="360" w:lineRule="auto"/>
        <w:ind w:firstLine="422"/>
        <w:jc w:val="left"/>
        <w:rPr>
          <w:rFonts w:ascii="宋体" w:hAnsi="宋体" w:cs="宋体"/>
          <w:b/>
          <w:color w:val="auto"/>
          <w:szCs w:val="21"/>
        </w:rPr>
      </w:pPr>
      <w:r>
        <w:rPr>
          <w:rFonts w:hint="eastAsia" w:ascii="宋体" w:hAnsi="宋体" w:cs="宋体"/>
          <w:b/>
          <w:color w:val="auto"/>
          <w:szCs w:val="21"/>
        </w:rPr>
        <w:t>五、其他要求</w:t>
      </w:r>
    </w:p>
    <w:p w14:paraId="262DF025">
      <w:pPr>
        <w:pStyle w:val="199"/>
        <w:spacing w:line="360" w:lineRule="auto"/>
        <w:jc w:val="left"/>
        <w:rPr>
          <w:rFonts w:ascii="宋体" w:hAnsi="宋体" w:cs="宋体"/>
          <w:bCs/>
          <w:color w:val="auto"/>
          <w:szCs w:val="21"/>
        </w:rPr>
      </w:pPr>
      <w:r>
        <w:rPr>
          <w:rFonts w:hint="eastAsia" w:ascii="宋体" w:hAnsi="宋体" w:cs="宋体"/>
          <w:bCs/>
          <w:color w:val="auto"/>
          <w:szCs w:val="21"/>
        </w:rPr>
        <w:t>1.每季度提供各系统各账号使用情况分析报告1份；</w:t>
      </w:r>
    </w:p>
    <w:p w14:paraId="332248DA">
      <w:pPr>
        <w:pStyle w:val="2"/>
        <w:ind w:firstLine="420"/>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2.服务期内盐城地区各级公安机关追加购买账号单价不高于本项目成交单价。</w:t>
      </w:r>
    </w:p>
    <w:p w14:paraId="44C567A4">
      <w:pPr>
        <w:rPr>
          <w:rFonts w:ascii="宋体" w:hAnsi="宋体" w:eastAsia="宋体" w:cs="宋体"/>
          <w:bCs/>
          <w:color w:val="auto"/>
          <w:szCs w:val="21"/>
        </w:rPr>
      </w:pPr>
      <w:r>
        <w:rPr>
          <w:rFonts w:hint="eastAsia" w:ascii="宋体" w:hAnsi="宋体" w:eastAsia="宋体" w:cs="宋体"/>
          <w:bCs/>
          <w:color w:val="auto"/>
          <w:szCs w:val="21"/>
        </w:rPr>
        <w:br w:type="page" w:clear="all"/>
      </w:r>
    </w:p>
    <w:p w14:paraId="50353707">
      <w:pPr>
        <w:pStyle w:val="2"/>
        <w:spacing w:line="360" w:lineRule="auto"/>
        <w:jc w:val="center"/>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采购5包：涉网犯罪智能分析查询服务</w:t>
      </w:r>
    </w:p>
    <w:p w14:paraId="6C341D01">
      <w:pPr>
        <w:pStyle w:val="199"/>
        <w:spacing w:line="360" w:lineRule="auto"/>
        <w:jc w:val="left"/>
        <w:rPr>
          <w:rFonts w:ascii="宋体" w:hAnsi="宋体" w:cs="宋体"/>
          <w:bCs/>
          <w:color w:val="auto"/>
          <w:szCs w:val="21"/>
        </w:rPr>
      </w:pPr>
      <w:r>
        <w:rPr>
          <w:rFonts w:hint="eastAsia" w:ascii="宋体" w:hAnsi="宋体" w:cs="宋体"/>
          <w:bCs/>
          <w:color w:val="auto"/>
          <w:szCs w:val="21"/>
        </w:rPr>
        <w:t>当前国内，境外犯罪形势仍然复杂严峻，案件高发，管控难度持续加大，依靠有限的情报、有限的警力进行分析研判的传统侦查的“汗水警务”模式已经不能适应当下的发展。数据技术、情报研判充分发挥了主导和引领作用，传统侦查手段与现代科技手段有机结合，犯罪目标对象网上、网下，现实、虚拟身份信息，相互交叉印证，大大提高了研判和抓捕效能，使得人员打击工作实现新突破，在应对复杂形势下的“人力+技术+大数据”的重要手段。</w:t>
      </w:r>
    </w:p>
    <w:p w14:paraId="743D6DA8">
      <w:pPr>
        <w:numPr>
          <w:ilvl w:val="0"/>
          <w:numId w:val="9"/>
        </w:numPr>
        <w:spacing w:line="360" w:lineRule="auto"/>
        <w:ind w:left="420"/>
        <w:jc w:val="left"/>
        <w:rPr>
          <w:rFonts w:ascii="宋体" w:hAnsi="宋体" w:eastAsia="宋体" w:cs="宋体"/>
          <w:color w:val="auto"/>
          <w:szCs w:val="21"/>
        </w:rPr>
      </w:pPr>
      <w:r>
        <w:rPr>
          <w:rFonts w:hint="eastAsia" w:ascii="宋体" w:hAnsi="宋体" w:eastAsia="宋体" w:cs="宋体"/>
          <w:color w:val="auto"/>
          <w:szCs w:val="21"/>
        </w:rPr>
        <w:t>功能参数及主要商务条款</w:t>
      </w:r>
    </w:p>
    <w:p w14:paraId="2792C02E">
      <w:pPr>
        <w:pStyle w:val="199"/>
        <w:widowControl/>
        <w:spacing w:line="360" w:lineRule="auto"/>
        <w:jc w:val="left"/>
        <w:rPr>
          <w:rFonts w:ascii="宋体" w:hAnsi="宋体" w:cs="宋体"/>
          <w:color w:val="auto"/>
          <w:szCs w:val="21"/>
        </w:rPr>
      </w:pPr>
      <w:r>
        <w:rPr>
          <w:rFonts w:hint="eastAsia" w:ascii="宋体" w:hAnsi="宋体" w:cs="宋体"/>
          <w:color w:val="auto"/>
          <w:szCs w:val="21"/>
          <w:shd w:val="clear" w:color="auto" w:fill="FFFFFF"/>
        </w:rPr>
        <w:t>如有需要具体功能详细说明，请与采购联系人联系，服务期1年。</w:t>
      </w:r>
    </w:p>
    <w:tbl>
      <w:tblPr>
        <w:tblStyle w:val="35"/>
        <w:tblW w:w="4995" w:type="pct"/>
        <w:tblInd w:w="0" w:type="dxa"/>
        <w:tblLayout w:type="autofit"/>
        <w:tblCellMar>
          <w:top w:w="0" w:type="dxa"/>
          <w:left w:w="108" w:type="dxa"/>
          <w:bottom w:w="0" w:type="dxa"/>
          <w:right w:w="108" w:type="dxa"/>
        </w:tblCellMar>
      </w:tblPr>
      <w:tblGrid>
        <w:gridCol w:w="775"/>
        <w:gridCol w:w="1047"/>
        <w:gridCol w:w="5662"/>
        <w:gridCol w:w="703"/>
        <w:gridCol w:w="726"/>
      </w:tblGrid>
      <w:tr w14:paraId="224DF432">
        <w:tblPrEx>
          <w:tblCellMar>
            <w:top w:w="0" w:type="dxa"/>
            <w:left w:w="108" w:type="dxa"/>
            <w:bottom w:w="0" w:type="dxa"/>
            <w:right w:w="108" w:type="dxa"/>
          </w:tblCellMar>
        </w:tblPrEx>
        <w:trPr>
          <w:trHeight w:val="312" w:hRule="atLeast"/>
        </w:trPr>
        <w:tc>
          <w:tcPr>
            <w:tcW w:w="435" w:type="pct"/>
            <w:tcBorders>
              <w:top w:val="single" w:color="000000" w:sz="4" w:space="0"/>
              <w:left w:val="single" w:color="000000" w:sz="4" w:space="0"/>
              <w:bottom w:val="single" w:color="000000" w:sz="4" w:space="0"/>
              <w:right w:val="single" w:color="000000" w:sz="4" w:space="0"/>
            </w:tcBorders>
            <w:noWrap w:val="0"/>
            <w:vAlign w:val="center"/>
          </w:tcPr>
          <w:p w14:paraId="392D82DE">
            <w:pPr>
              <w:widowControl/>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587" w:type="pct"/>
            <w:tcBorders>
              <w:top w:val="single" w:color="000000" w:sz="4" w:space="0"/>
              <w:left w:val="single" w:color="000000" w:sz="4" w:space="0"/>
              <w:bottom w:val="single" w:color="000000" w:sz="4" w:space="0"/>
              <w:right w:val="single" w:color="000000" w:sz="4" w:space="0"/>
            </w:tcBorders>
            <w:noWrap w:val="0"/>
            <w:vAlign w:val="center"/>
          </w:tcPr>
          <w:p w14:paraId="00EEF0CF">
            <w:pPr>
              <w:widowControl/>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3175" w:type="pct"/>
            <w:tcBorders>
              <w:top w:val="single" w:color="000000" w:sz="4" w:space="0"/>
              <w:left w:val="single" w:color="000000" w:sz="4" w:space="0"/>
              <w:bottom w:val="single" w:color="000000" w:sz="4" w:space="0"/>
              <w:right w:val="single" w:color="000000" w:sz="4" w:space="0"/>
            </w:tcBorders>
            <w:noWrap w:val="0"/>
            <w:vAlign w:val="center"/>
          </w:tcPr>
          <w:p w14:paraId="55B5D756">
            <w:pPr>
              <w:widowControl/>
              <w:jc w:val="center"/>
              <w:rPr>
                <w:rFonts w:ascii="宋体" w:hAnsi="宋体" w:eastAsia="宋体" w:cs="宋体"/>
                <w:b/>
                <w:bCs/>
                <w:color w:val="auto"/>
                <w:szCs w:val="21"/>
              </w:rPr>
            </w:pPr>
            <w:r>
              <w:rPr>
                <w:rFonts w:hint="eastAsia" w:ascii="宋体" w:hAnsi="宋体" w:eastAsia="宋体" w:cs="宋体"/>
                <w:b/>
                <w:bCs/>
                <w:color w:val="auto"/>
                <w:szCs w:val="21"/>
              </w:rPr>
              <w:t>内容</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13C0B2D8">
            <w:pPr>
              <w:widowControl/>
              <w:jc w:val="center"/>
              <w:rPr>
                <w:rFonts w:ascii="宋体" w:hAnsi="宋体" w:eastAsia="宋体" w:cs="宋体"/>
                <w:b/>
                <w:bCs/>
                <w:color w:val="auto"/>
                <w:szCs w:val="21"/>
              </w:rPr>
            </w:pPr>
            <w:r>
              <w:rPr>
                <w:rFonts w:hint="eastAsia" w:ascii="宋体" w:hAnsi="宋体" w:eastAsia="宋体" w:cs="宋体"/>
                <w:b/>
                <w:bCs/>
                <w:color w:val="auto"/>
                <w:szCs w:val="21"/>
              </w:rPr>
              <w:t>单位</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D859A31">
            <w:pPr>
              <w:widowControl/>
              <w:jc w:val="center"/>
              <w:rPr>
                <w:rFonts w:ascii="宋体" w:hAnsi="宋体" w:eastAsia="宋体" w:cs="宋体"/>
                <w:b/>
                <w:bCs/>
                <w:color w:val="auto"/>
                <w:szCs w:val="21"/>
              </w:rPr>
            </w:pPr>
            <w:r>
              <w:rPr>
                <w:rFonts w:hint="eastAsia" w:ascii="宋体" w:hAnsi="宋体" w:eastAsia="宋体" w:cs="宋体"/>
                <w:b/>
                <w:bCs/>
                <w:color w:val="auto"/>
                <w:szCs w:val="21"/>
              </w:rPr>
              <w:t>数量</w:t>
            </w:r>
          </w:p>
        </w:tc>
      </w:tr>
      <w:tr w14:paraId="5545A4B7">
        <w:tblPrEx>
          <w:tblCellMar>
            <w:top w:w="0" w:type="dxa"/>
            <w:left w:w="108" w:type="dxa"/>
            <w:bottom w:w="0" w:type="dxa"/>
            <w:right w:w="108" w:type="dxa"/>
          </w:tblCellMar>
        </w:tblPrEx>
        <w:trPr>
          <w:trHeight w:val="305" w:hRule="atLeast"/>
        </w:trPr>
        <w:tc>
          <w:tcPr>
            <w:tcW w:w="435" w:type="pct"/>
            <w:tcBorders>
              <w:top w:val="single" w:color="000000" w:sz="4" w:space="0"/>
              <w:left w:val="single" w:color="000000" w:sz="4" w:space="0"/>
              <w:bottom w:val="single" w:color="000000" w:sz="4" w:space="0"/>
              <w:right w:val="single" w:color="000000" w:sz="4" w:space="0"/>
            </w:tcBorders>
            <w:noWrap w:val="0"/>
            <w:vAlign w:val="center"/>
          </w:tcPr>
          <w:p w14:paraId="65861DC8">
            <w:pPr>
              <w:widowControl/>
              <w:jc w:val="center"/>
              <w:rPr>
                <w:rFonts w:ascii="宋体" w:hAnsi="宋体" w:eastAsia="宋体" w:cs="宋体"/>
                <w:color w:val="auto"/>
                <w:szCs w:val="21"/>
              </w:rPr>
            </w:pPr>
            <w:r>
              <w:rPr>
                <w:rFonts w:hint="eastAsia" w:ascii="宋体" w:hAnsi="宋体" w:eastAsia="宋体" w:cs="宋体"/>
                <w:color w:val="auto"/>
                <w:szCs w:val="21"/>
              </w:rPr>
              <w:t>1</w:t>
            </w:r>
          </w:p>
        </w:tc>
        <w:tc>
          <w:tcPr>
            <w:tcW w:w="587" w:type="pct"/>
            <w:tcBorders>
              <w:top w:val="single" w:color="000000" w:sz="4" w:space="0"/>
              <w:left w:val="single" w:color="000000" w:sz="4" w:space="0"/>
              <w:bottom w:val="single" w:color="000000" w:sz="4" w:space="0"/>
              <w:right w:val="single" w:color="000000" w:sz="4" w:space="0"/>
            </w:tcBorders>
            <w:noWrap w:val="0"/>
            <w:vAlign w:val="center"/>
          </w:tcPr>
          <w:p w14:paraId="5C02DBF0">
            <w:pPr>
              <w:widowControl/>
              <w:jc w:val="center"/>
              <w:rPr>
                <w:rFonts w:ascii="宋体" w:hAnsi="宋体" w:eastAsia="宋体" w:cs="宋体"/>
                <w:color w:val="auto"/>
                <w:szCs w:val="21"/>
              </w:rPr>
            </w:pPr>
            <w:r>
              <w:rPr>
                <w:rFonts w:hint="eastAsia" w:ascii="宋体" w:hAnsi="宋体" w:eastAsia="宋体" w:cs="宋体"/>
                <w:color w:val="auto"/>
                <w:szCs w:val="21"/>
              </w:rPr>
              <w:t>类似神捕的反诈业务智能分析服务</w:t>
            </w:r>
          </w:p>
        </w:tc>
        <w:tc>
          <w:tcPr>
            <w:tcW w:w="3175" w:type="pct"/>
            <w:tcBorders>
              <w:top w:val="single" w:color="000000" w:sz="4" w:space="0"/>
              <w:left w:val="single" w:color="000000" w:sz="4" w:space="0"/>
              <w:bottom w:val="single" w:color="000000" w:sz="4" w:space="0"/>
              <w:right w:val="single" w:color="000000" w:sz="4" w:space="0"/>
            </w:tcBorders>
            <w:noWrap w:val="0"/>
            <w:vAlign w:val="center"/>
          </w:tcPr>
          <w:p w14:paraId="76960E4F">
            <w:pPr>
              <w:jc w:val="left"/>
              <w:rPr>
                <w:rFonts w:ascii="宋体" w:hAnsi="宋体" w:eastAsia="宋体" w:cs="宋体"/>
                <w:b/>
                <w:bCs/>
                <w:color w:val="auto"/>
                <w:szCs w:val="21"/>
              </w:rPr>
            </w:pPr>
            <w:r>
              <w:rPr>
                <w:rFonts w:hint="eastAsia" w:ascii="宋体" w:hAnsi="宋体" w:eastAsia="宋体" w:cs="宋体"/>
                <w:b/>
                <w:bCs/>
                <w:color w:val="auto"/>
                <w:szCs w:val="21"/>
              </w:rPr>
              <w:t>1、服务基本要求</w:t>
            </w:r>
          </w:p>
          <w:p w14:paraId="0FA8C320">
            <w:pPr>
              <w:jc w:val="left"/>
              <w:rPr>
                <w:rFonts w:ascii="宋体" w:hAnsi="宋体" w:eastAsia="宋体" w:cs="宋体"/>
                <w:color w:val="auto"/>
                <w:szCs w:val="21"/>
              </w:rPr>
            </w:pPr>
            <w:r>
              <w:rPr>
                <w:rFonts w:hint="eastAsia" w:ascii="宋体" w:hAnsi="宋体" w:eastAsia="宋体" w:cs="宋体"/>
                <w:color w:val="auto"/>
                <w:szCs w:val="21"/>
              </w:rPr>
              <w:t>（1）系统服务平台为Web端系统；</w:t>
            </w:r>
          </w:p>
          <w:p w14:paraId="39C90611">
            <w:pPr>
              <w:jc w:val="left"/>
              <w:rPr>
                <w:rFonts w:ascii="宋体" w:hAnsi="宋体" w:eastAsia="宋体" w:cs="宋体"/>
                <w:color w:val="auto"/>
                <w:szCs w:val="21"/>
              </w:rPr>
            </w:pPr>
            <w:r>
              <w:rPr>
                <w:rFonts w:hint="eastAsia" w:ascii="宋体" w:hAnsi="宋体" w:eastAsia="宋体" w:cs="宋体"/>
                <w:color w:val="auto"/>
                <w:szCs w:val="21"/>
              </w:rPr>
              <w:t>（2）可以针对事实清晰，法律手续齐备的特定DX进行使用。</w:t>
            </w:r>
          </w:p>
          <w:p w14:paraId="46E36E0D">
            <w:pPr>
              <w:jc w:val="left"/>
              <w:rPr>
                <w:rFonts w:ascii="宋体" w:hAnsi="宋体" w:eastAsia="宋体" w:cs="宋体"/>
                <w:b/>
                <w:bCs/>
                <w:color w:val="auto"/>
                <w:szCs w:val="21"/>
              </w:rPr>
            </w:pPr>
            <w:r>
              <w:rPr>
                <w:rFonts w:hint="eastAsia" w:ascii="宋体" w:hAnsi="宋体" w:eastAsia="宋体" w:cs="宋体"/>
                <w:b/>
                <w:bCs/>
                <w:color w:val="auto"/>
                <w:szCs w:val="21"/>
              </w:rPr>
              <w:t>2、提供的主要功能</w:t>
            </w:r>
          </w:p>
          <w:p w14:paraId="526EA97A">
            <w:pPr>
              <w:jc w:val="left"/>
              <w:rPr>
                <w:rFonts w:ascii="宋体" w:hAnsi="宋体" w:eastAsia="宋体" w:cs="宋体"/>
                <w:color w:val="auto"/>
                <w:szCs w:val="21"/>
              </w:rPr>
            </w:pPr>
            <w:r>
              <w:rPr>
                <w:rFonts w:hint="eastAsia" w:ascii="宋体" w:hAnsi="宋体" w:eastAsia="宋体" w:cs="宋体"/>
                <w:color w:val="auto"/>
                <w:szCs w:val="21"/>
              </w:rPr>
              <w:t>（1）平台基础服务：业务需求流转支撑及账号管理服务、使用日志审计。</w:t>
            </w:r>
          </w:p>
          <w:p w14:paraId="292842CC">
            <w:pPr>
              <w:jc w:val="left"/>
              <w:rPr>
                <w:rFonts w:ascii="宋体" w:hAnsi="宋体" w:eastAsia="宋体" w:cs="宋体"/>
                <w:color w:val="auto"/>
                <w:szCs w:val="21"/>
              </w:rPr>
            </w:pPr>
            <w:r>
              <w:rPr>
                <w:rFonts w:hint="eastAsia" w:ascii="宋体" w:hAnsi="宋体" w:eastAsia="宋体" w:cs="宋体"/>
                <w:color w:val="auto"/>
                <w:szCs w:val="21"/>
              </w:rPr>
              <w:t>（2）账号服务：产品用户使用权限。</w:t>
            </w:r>
          </w:p>
          <w:p w14:paraId="293F8CDA">
            <w:pPr>
              <w:jc w:val="left"/>
              <w:rPr>
                <w:rFonts w:ascii="宋体" w:hAnsi="宋体" w:eastAsia="宋体" w:cs="宋体"/>
                <w:color w:val="auto"/>
                <w:szCs w:val="21"/>
              </w:rPr>
            </w:pPr>
            <w:r>
              <w:rPr>
                <w:rFonts w:hint="eastAsia" w:ascii="宋体" w:hAnsi="宋体" w:eastAsia="宋体" w:cs="宋体"/>
                <w:color w:val="auto"/>
                <w:szCs w:val="21"/>
              </w:rPr>
              <w:t>（3）实施BK：分析挖掘WZ信息、有效线索。</w:t>
            </w:r>
          </w:p>
          <w:p w14:paraId="14F6E1DC">
            <w:pPr>
              <w:jc w:val="left"/>
              <w:rPr>
                <w:rFonts w:ascii="宋体" w:hAnsi="宋体" w:eastAsia="宋体" w:cs="宋体"/>
                <w:color w:val="auto"/>
                <w:szCs w:val="21"/>
              </w:rPr>
            </w:pPr>
            <w:r>
              <w:rPr>
                <w:rFonts w:hint="eastAsia" w:ascii="宋体" w:hAnsi="宋体" w:eastAsia="宋体" w:cs="宋体"/>
                <w:color w:val="auto"/>
                <w:szCs w:val="21"/>
              </w:rPr>
              <w:t>（4）初侦初查：对涉案要素多维关联分析，发现、提取更具真实性、指向性的涉案人员、设备等线索，同时识别涉诈风险 。</w:t>
            </w:r>
          </w:p>
          <w:p w14:paraId="2DBE06DD">
            <w:pPr>
              <w:jc w:val="left"/>
              <w:rPr>
                <w:rFonts w:ascii="宋体" w:hAnsi="宋体" w:eastAsia="宋体" w:cs="宋体"/>
                <w:b/>
                <w:bCs/>
                <w:color w:val="auto"/>
                <w:szCs w:val="21"/>
              </w:rPr>
            </w:pPr>
            <w:r>
              <w:rPr>
                <w:rFonts w:hint="eastAsia" w:ascii="宋体" w:hAnsi="宋体" w:eastAsia="宋体" w:cs="宋体"/>
                <w:b/>
                <w:bCs/>
                <w:color w:val="auto"/>
                <w:szCs w:val="21"/>
              </w:rPr>
              <w:t>3、其他要求</w:t>
            </w:r>
          </w:p>
          <w:p w14:paraId="6C1FD2EE">
            <w:pPr>
              <w:jc w:val="left"/>
              <w:rPr>
                <w:rFonts w:ascii="宋体" w:hAnsi="宋体" w:eastAsia="宋体" w:cs="宋体"/>
                <w:color w:val="auto"/>
                <w:szCs w:val="21"/>
              </w:rPr>
            </w:pPr>
            <w:r>
              <w:rPr>
                <w:rFonts w:hint="eastAsia" w:ascii="宋体" w:hAnsi="宋体" w:eastAsia="宋体" w:cs="宋体"/>
                <w:color w:val="auto"/>
                <w:szCs w:val="21"/>
              </w:rPr>
              <w:t>（1）系统架构和性能：</w:t>
            </w:r>
          </w:p>
          <w:p w14:paraId="2C3E76A1">
            <w:pPr>
              <w:jc w:val="left"/>
              <w:rPr>
                <w:rFonts w:ascii="宋体" w:hAnsi="宋体" w:eastAsia="宋体" w:cs="宋体"/>
                <w:color w:val="auto"/>
                <w:szCs w:val="21"/>
              </w:rPr>
            </w:pPr>
            <w:r>
              <w:rPr>
                <w:rFonts w:hint="eastAsia" w:ascii="宋体" w:hAnsi="宋体" w:eastAsia="宋体" w:cs="宋体"/>
                <w:color w:val="auto"/>
                <w:szCs w:val="21"/>
              </w:rPr>
              <w:t>响应时间：接口平均响应时长200ms以内，页面打开渲染平均时长3秒以内。</w:t>
            </w:r>
          </w:p>
          <w:p w14:paraId="12BD5B87">
            <w:pPr>
              <w:jc w:val="left"/>
              <w:rPr>
                <w:rFonts w:ascii="宋体" w:hAnsi="宋体" w:eastAsia="宋体" w:cs="宋体"/>
                <w:color w:val="auto"/>
                <w:szCs w:val="21"/>
              </w:rPr>
            </w:pPr>
            <w:r>
              <w:rPr>
                <w:rFonts w:hint="eastAsia" w:ascii="宋体" w:hAnsi="宋体" w:eastAsia="宋体" w:cs="宋体"/>
                <w:color w:val="auto"/>
                <w:szCs w:val="21"/>
              </w:rPr>
              <w:t>可扩展性：支持横向扩展和纵向扩展，支持动态弹性扩缩容。</w:t>
            </w:r>
          </w:p>
          <w:p w14:paraId="44FF6851">
            <w:pPr>
              <w:jc w:val="left"/>
              <w:rPr>
                <w:rFonts w:ascii="宋体" w:hAnsi="宋体" w:eastAsia="宋体" w:cs="宋体"/>
                <w:color w:val="auto"/>
                <w:szCs w:val="21"/>
              </w:rPr>
            </w:pPr>
            <w:r>
              <w:rPr>
                <w:rFonts w:hint="eastAsia" w:ascii="宋体" w:hAnsi="宋体" w:eastAsia="宋体" w:cs="宋体"/>
                <w:color w:val="auto"/>
                <w:szCs w:val="21"/>
              </w:rPr>
              <w:t>（2）系统可用性指标：</w:t>
            </w:r>
          </w:p>
          <w:p w14:paraId="121216D1">
            <w:pPr>
              <w:jc w:val="left"/>
              <w:rPr>
                <w:rFonts w:ascii="宋体" w:hAnsi="宋体" w:eastAsia="宋体" w:cs="宋体"/>
                <w:color w:val="auto"/>
                <w:szCs w:val="21"/>
              </w:rPr>
            </w:pPr>
            <w:r>
              <w:rPr>
                <w:rFonts w:hint="eastAsia" w:ascii="宋体" w:hAnsi="宋体" w:eastAsia="宋体" w:cs="宋体"/>
                <w:color w:val="auto"/>
                <w:szCs w:val="21"/>
              </w:rPr>
              <w:t>可用性 99.6%，系统支持7×24小时不间断服务，最大不可用时间不超过36小时。</w:t>
            </w:r>
          </w:p>
          <w:p w14:paraId="43692FE7">
            <w:pPr>
              <w:jc w:val="left"/>
              <w:rPr>
                <w:rFonts w:ascii="宋体" w:hAnsi="宋体" w:eastAsia="宋体" w:cs="宋体"/>
                <w:color w:val="auto"/>
                <w:szCs w:val="21"/>
              </w:rPr>
            </w:pPr>
            <w:r>
              <w:rPr>
                <w:rFonts w:hint="eastAsia" w:ascii="宋体" w:hAnsi="宋体" w:eastAsia="宋体" w:cs="宋体"/>
                <w:color w:val="auto"/>
                <w:szCs w:val="21"/>
              </w:rPr>
              <w:t>全链路实时预警，1分钟发现问题，30分钟定位到问题，30分钟完成止血。</w:t>
            </w:r>
          </w:p>
          <w:p w14:paraId="1DED94EB">
            <w:pPr>
              <w:jc w:val="left"/>
              <w:rPr>
                <w:rFonts w:ascii="宋体" w:hAnsi="宋体" w:eastAsia="宋体" w:cs="宋体"/>
                <w:color w:val="auto"/>
                <w:szCs w:val="21"/>
              </w:rPr>
            </w:pPr>
            <w:r>
              <w:rPr>
                <w:rFonts w:hint="eastAsia" w:ascii="宋体" w:hAnsi="宋体" w:eastAsia="宋体" w:cs="宋体"/>
                <w:color w:val="auto"/>
                <w:szCs w:val="21"/>
              </w:rPr>
              <w:t>（3）安全性指标：</w:t>
            </w:r>
          </w:p>
          <w:p w14:paraId="111BEB97">
            <w:pPr>
              <w:jc w:val="left"/>
              <w:rPr>
                <w:rFonts w:ascii="宋体" w:hAnsi="宋体" w:eastAsia="宋体" w:cs="宋体"/>
                <w:color w:val="auto"/>
                <w:szCs w:val="21"/>
              </w:rPr>
            </w:pPr>
            <w:r>
              <w:rPr>
                <w:rFonts w:hint="eastAsia" w:ascii="宋体" w:hAnsi="宋体" w:eastAsia="宋体" w:cs="宋体"/>
                <w:color w:val="auto"/>
                <w:szCs w:val="21"/>
              </w:rPr>
              <w:t>系统模块间采用SSL技术来加密和数据保护。</w:t>
            </w:r>
          </w:p>
          <w:p w14:paraId="7A96C5DE">
            <w:pPr>
              <w:jc w:val="left"/>
              <w:rPr>
                <w:rFonts w:ascii="宋体" w:hAnsi="宋体" w:eastAsia="宋体" w:cs="宋体"/>
                <w:color w:val="auto"/>
                <w:szCs w:val="21"/>
              </w:rPr>
            </w:pPr>
            <w:r>
              <w:rPr>
                <w:rFonts w:hint="eastAsia" w:ascii="宋体" w:hAnsi="宋体" w:eastAsia="宋体" w:cs="宋体"/>
                <w:color w:val="auto"/>
                <w:szCs w:val="21"/>
              </w:rPr>
              <w:t>支持OAuth、多因素认证等用户认证授权机制。</w:t>
            </w:r>
          </w:p>
          <w:p w14:paraId="5FB3EEA9">
            <w:pPr>
              <w:jc w:val="left"/>
              <w:rPr>
                <w:rFonts w:ascii="宋体" w:hAnsi="宋体" w:eastAsia="宋体" w:cs="宋体"/>
                <w:color w:val="auto"/>
                <w:szCs w:val="21"/>
              </w:rPr>
            </w:pPr>
            <w:r>
              <w:rPr>
                <w:rFonts w:hint="eastAsia" w:ascii="宋体" w:hAnsi="宋体" w:eastAsia="宋体" w:cs="宋体"/>
                <w:color w:val="auto"/>
                <w:szCs w:val="21"/>
              </w:rPr>
              <w:t>支持异地容灾备份。</w:t>
            </w:r>
          </w:p>
          <w:p w14:paraId="3E11ADF1">
            <w:pPr>
              <w:jc w:val="left"/>
              <w:rPr>
                <w:rFonts w:ascii="宋体" w:hAnsi="宋体" w:eastAsia="宋体" w:cs="宋体"/>
                <w:color w:val="auto"/>
                <w:szCs w:val="21"/>
              </w:rPr>
            </w:pPr>
            <w:r>
              <w:rPr>
                <w:rFonts w:hint="eastAsia" w:ascii="宋体" w:hAnsi="宋体" w:eastAsia="宋体" w:cs="宋体"/>
                <w:color w:val="auto"/>
                <w:szCs w:val="21"/>
              </w:rPr>
              <w:t>（4）数据计算能力指标：</w:t>
            </w:r>
          </w:p>
          <w:p w14:paraId="32E9C06D">
            <w:pPr>
              <w:jc w:val="left"/>
              <w:rPr>
                <w:rFonts w:ascii="宋体" w:hAnsi="宋体" w:eastAsia="宋体" w:cs="宋体"/>
                <w:color w:val="auto"/>
                <w:szCs w:val="21"/>
              </w:rPr>
            </w:pPr>
            <w:r>
              <w:rPr>
                <w:rFonts w:hint="eastAsia" w:ascii="宋体" w:hAnsi="宋体" w:eastAsia="宋体" w:cs="宋体"/>
                <w:color w:val="auto"/>
                <w:szCs w:val="21"/>
              </w:rPr>
              <w:t>2万CU的计算算力，分钟级PB计算能力，小时级EB计算能力。</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5240D6BE">
            <w:pPr>
              <w:widowControl/>
              <w:jc w:val="center"/>
              <w:rPr>
                <w:rFonts w:ascii="宋体" w:hAnsi="宋体" w:eastAsia="宋体" w:cs="宋体"/>
                <w:color w:val="auto"/>
                <w:szCs w:val="21"/>
              </w:rPr>
            </w:pPr>
            <w:r>
              <w:rPr>
                <w:rFonts w:hint="eastAsia" w:ascii="宋体" w:hAnsi="宋体" w:eastAsia="宋体" w:cs="宋体"/>
                <w:color w:val="auto"/>
                <w:szCs w:val="21"/>
              </w:rPr>
              <w:t>个</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B0CABF2">
            <w:pPr>
              <w:widowControl/>
              <w:jc w:val="center"/>
              <w:rPr>
                <w:rFonts w:ascii="宋体" w:hAnsi="宋体" w:eastAsia="宋体" w:cs="宋体"/>
                <w:color w:val="auto"/>
                <w:szCs w:val="21"/>
                <w:highlight w:val="yellow"/>
              </w:rPr>
            </w:pPr>
            <w:r>
              <w:rPr>
                <w:rFonts w:hint="eastAsia" w:ascii="宋体" w:hAnsi="宋体" w:eastAsia="宋体" w:cs="宋体"/>
                <w:color w:val="auto"/>
                <w:szCs w:val="21"/>
              </w:rPr>
              <w:t>1</w:t>
            </w:r>
          </w:p>
        </w:tc>
      </w:tr>
      <w:tr w14:paraId="3DE81461">
        <w:tblPrEx>
          <w:tblCellMar>
            <w:top w:w="0" w:type="dxa"/>
            <w:left w:w="108" w:type="dxa"/>
            <w:bottom w:w="0" w:type="dxa"/>
            <w:right w:w="108" w:type="dxa"/>
          </w:tblCellMar>
        </w:tblPrEx>
        <w:trPr>
          <w:trHeight w:val="480" w:hRule="atLeast"/>
        </w:trPr>
        <w:tc>
          <w:tcPr>
            <w:tcW w:w="435" w:type="pct"/>
            <w:tcBorders>
              <w:top w:val="single" w:color="000000" w:sz="4" w:space="0"/>
              <w:left w:val="single" w:color="000000" w:sz="4" w:space="0"/>
              <w:bottom w:val="single" w:color="000000" w:sz="4" w:space="0"/>
              <w:right w:val="single" w:color="000000" w:sz="4" w:space="0"/>
            </w:tcBorders>
            <w:noWrap w:val="0"/>
            <w:vAlign w:val="center"/>
          </w:tcPr>
          <w:p w14:paraId="46603D08">
            <w:pPr>
              <w:widowControl/>
              <w:jc w:val="center"/>
              <w:rPr>
                <w:rFonts w:ascii="宋体" w:hAnsi="宋体" w:eastAsia="宋体" w:cs="宋体"/>
                <w:color w:val="auto"/>
                <w:szCs w:val="21"/>
              </w:rPr>
            </w:pPr>
            <w:r>
              <w:rPr>
                <w:rFonts w:hint="eastAsia" w:ascii="宋体" w:hAnsi="宋体" w:eastAsia="宋体" w:cs="宋体"/>
                <w:color w:val="auto"/>
                <w:szCs w:val="21"/>
              </w:rPr>
              <w:t>2</w:t>
            </w:r>
          </w:p>
        </w:tc>
        <w:tc>
          <w:tcPr>
            <w:tcW w:w="587" w:type="pct"/>
            <w:tcBorders>
              <w:top w:val="single" w:color="000000" w:sz="4" w:space="0"/>
              <w:left w:val="single" w:color="000000" w:sz="4" w:space="0"/>
              <w:bottom w:val="single" w:color="000000" w:sz="4" w:space="0"/>
              <w:right w:val="single" w:color="000000" w:sz="4" w:space="0"/>
            </w:tcBorders>
            <w:noWrap w:val="0"/>
            <w:vAlign w:val="center"/>
          </w:tcPr>
          <w:p w14:paraId="720D23C1">
            <w:pPr>
              <w:widowControl/>
              <w:jc w:val="center"/>
              <w:rPr>
                <w:rFonts w:ascii="宋体" w:hAnsi="宋体" w:eastAsia="宋体" w:cs="宋体"/>
                <w:color w:val="auto"/>
                <w:szCs w:val="21"/>
              </w:rPr>
            </w:pPr>
            <w:r>
              <w:rPr>
                <w:rFonts w:hint="eastAsia" w:ascii="宋体" w:hAnsi="宋体" w:eastAsia="宋体" w:cs="宋体"/>
                <w:color w:val="auto"/>
                <w:szCs w:val="21"/>
              </w:rPr>
              <w:t>类似寻清业务智能分析服务</w:t>
            </w:r>
          </w:p>
        </w:tc>
        <w:tc>
          <w:tcPr>
            <w:tcW w:w="3175" w:type="pct"/>
            <w:tcBorders>
              <w:top w:val="single" w:color="000000" w:sz="4" w:space="0"/>
              <w:left w:val="single" w:color="000000" w:sz="4" w:space="0"/>
              <w:bottom w:val="single" w:color="000000" w:sz="4" w:space="0"/>
              <w:right w:val="single" w:color="000000" w:sz="4" w:space="0"/>
            </w:tcBorders>
            <w:noWrap w:val="0"/>
            <w:vAlign w:val="center"/>
          </w:tcPr>
          <w:p w14:paraId="26B31AC9">
            <w:pPr>
              <w:jc w:val="left"/>
              <w:rPr>
                <w:rFonts w:ascii="宋体" w:hAnsi="宋体" w:eastAsia="宋体" w:cs="宋体"/>
                <w:b/>
                <w:bCs/>
                <w:color w:val="auto"/>
                <w:szCs w:val="21"/>
              </w:rPr>
            </w:pPr>
            <w:r>
              <w:rPr>
                <w:rFonts w:hint="eastAsia" w:ascii="宋体" w:hAnsi="宋体" w:eastAsia="宋体" w:cs="宋体"/>
                <w:b/>
                <w:bCs/>
                <w:color w:val="auto"/>
                <w:szCs w:val="21"/>
              </w:rPr>
              <w:t>1、服务基本要求</w:t>
            </w:r>
          </w:p>
          <w:p w14:paraId="4E8EF66B">
            <w:pPr>
              <w:jc w:val="left"/>
              <w:rPr>
                <w:rFonts w:ascii="宋体" w:hAnsi="宋体" w:eastAsia="宋体" w:cs="宋体"/>
                <w:color w:val="auto"/>
                <w:szCs w:val="21"/>
              </w:rPr>
            </w:pPr>
            <w:r>
              <w:rPr>
                <w:rFonts w:hint="eastAsia" w:ascii="宋体" w:hAnsi="宋体" w:eastAsia="宋体" w:cs="宋体"/>
                <w:color w:val="auto"/>
                <w:szCs w:val="21"/>
              </w:rPr>
              <w:t>（1）系统服务平台为Web端服务平台。</w:t>
            </w:r>
          </w:p>
          <w:p w14:paraId="0F7A91F6">
            <w:pPr>
              <w:jc w:val="left"/>
              <w:rPr>
                <w:rFonts w:ascii="宋体" w:hAnsi="宋体" w:eastAsia="宋体" w:cs="宋体"/>
                <w:color w:val="auto"/>
                <w:szCs w:val="21"/>
              </w:rPr>
            </w:pPr>
            <w:r>
              <w:rPr>
                <w:rFonts w:hint="eastAsia" w:ascii="宋体" w:hAnsi="宋体" w:eastAsia="宋体" w:cs="宋体"/>
                <w:color w:val="auto"/>
                <w:szCs w:val="21"/>
              </w:rPr>
              <w:t>（2）可以部署事实清晰，法律手续齐备的特定DX。</w:t>
            </w:r>
          </w:p>
          <w:p w14:paraId="61D3503D">
            <w:pPr>
              <w:jc w:val="left"/>
              <w:rPr>
                <w:rFonts w:ascii="宋体" w:hAnsi="宋体" w:eastAsia="宋体" w:cs="宋体"/>
                <w:b/>
                <w:bCs/>
                <w:color w:val="auto"/>
                <w:szCs w:val="21"/>
              </w:rPr>
            </w:pPr>
            <w:r>
              <w:rPr>
                <w:rFonts w:hint="eastAsia" w:ascii="宋体" w:hAnsi="宋体" w:eastAsia="宋体" w:cs="宋体"/>
                <w:b/>
                <w:bCs/>
                <w:color w:val="auto"/>
                <w:szCs w:val="21"/>
              </w:rPr>
              <w:t>2、提供服务的软件主要功能</w:t>
            </w:r>
          </w:p>
          <w:p w14:paraId="507913F3">
            <w:pPr>
              <w:jc w:val="left"/>
              <w:rPr>
                <w:rFonts w:ascii="宋体" w:hAnsi="宋体" w:eastAsia="宋体" w:cs="宋体"/>
                <w:color w:val="auto"/>
                <w:szCs w:val="21"/>
              </w:rPr>
            </w:pPr>
            <w:r>
              <w:rPr>
                <w:rFonts w:hint="eastAsia" w:ascii="宋体" w:hAnsi="宋体" w:eastAsia="宋体" w:cs="宋体"/>
                <w:color w:val="auto"/>
                <w:szCs w:val="21"/>
              </w:rPr>
              <w:t>Web端业务智能分析服务包含对象识别、在册筛查、初侦初查、现案研判、收网打处五大核心业务模块。</w:t>
            </w:r>
          </w:p>
          <w:p w14:paraId="2D96B33C">
            <w:pPr>
              <w:jc w:val="left"/>
              <w:rPr>
                <w:rFonts w:ascii="宋体" w:hAnsi="宋体" w:eastAsia="宋体" w:cs="宋体"/>
                <w:color w:val="auto"/>
                <w:szCs w:val="21"/>
              </w:rPr>
            </w:pPr>
            <w:r>
              <w:rPr>
                <w:rFonts w:hint="eastAsia" w:ascii="宋体" w:hAnsi="宋体" w:eastAsia="宋体" w:cs="宋体"/>
                <w:color w:val="auto"/>
                <w:szCs w:val="21"/>
              </w:rPr>
              <w:t>平台管理：业务需求流转支撑及账号管理服务、VPN安全管理、使用日志审计。</w:t>
            </w:r>
          </w:p>
          <w:p w14:paraId="7D4D93FF">
            <w:pPr>
              <w:jc w:val="left"/>
              <w:rPr>
                <w:rFonts w:ascii="宋体" w:hAnsi="宋体" w:eastAsia="宋体" w:cs="宋体"/>
                <w:color w:val="auto"/>
                <w:szCs w:val="21"/>
              </w:rPr>
            </w:pPr>
            <w:r>
              <w:rPr>
                <w:rFonts w:hint="eastAsia" w:ascii="宋体" w:hAnsi="宋体" w:eastAsia="宋体" w:cs="宋体"/>
                <w:color w:val="auto"/>
                <w:szCs w:val="21"/>
              </w:rPr>
              <w:t>对象识别：通过大数据特征工程，识别高风险涉毒对象及涉毒风险行为。</w:t>
            </w:r>
          </w:p>
          <w:p w14:paraId="04F3125A">
            <w:pPr>
              <w:jc w:val="left"/>
              <w:rPr>
                <w:rFonts w:ascii="宋体" w:hAnsi="宋体" w:eastAsia="宋体" w:cs="宋体"/>
                <w:color w:val="auto"/>
                <w:szCs w:val="21"/>
              </w:rPr>
            </w:pPr>
            <w:r>
              <w:rPr>
                <w:rFonts w:hint="eastAsia" w:ascii="宋体" w:hAnsi="宋体" w:eastAsia="宋体" w:cs="宋体"/>
                <w:color w:val="auto"/>
                <w:szCs w:val="21"/>
              </w:rPr>
              <w:t>在册筛查：运用业务实战技战法，分析、识别高风险的风险行为。</w:t>
            </w:r>
          </w:p>
          <w:p w14:paraId="79D0098C">
            <w:pPr>
              <w:jc w:val="left"/>
              <w:rPr>
                <w:rFonts w:ascii="宋体" w:hAnsi="宋体" w:eastAsia="宋体" w:cs="宋体"/>
                <w:color w:val="auto"/>
                <w:szCs w:val="21"/>
              </w:rPr>
            </w:pPr>
            <w:r>
              <w:rPr>
                <w:rFonts w:hint="eastAsia" w:ascii="宋体" w:hAnsi="宋体" w:eastAsia="宋体" w:cs="宋体"/>
                <w:color w:val="auto"/>
                <w:szCs w:val="21"/>
              </w:rPr>
              <w:t>初侦初查：通过对涉案要素多维关联分析，发现、提取更具真实性、指向性的涉案人员、设备等分析结果。</w:t>
            </w:r>
          </w:p>
          <w:p w14:paraId="00646BA9">
            <w:pPr>
              <w:jc w:val="left"/>
              <w:rPr>
                <w:rFonts w:ascii="宋体" w:hAnsi="宋体" w:eastAsia="宋体" w:cs="宋体"/>
                <w:color w:val="auto"/>
                <w:szCs w:val="21"/>
              </w:rPr>
            </w:pPr>
            <w:r>
              <w:rPr>
                <w:rFonts w:hint="eastAsia" w:ascii="宋体" w:hAnsi="宋体" w:eastAsia="宋体" w:cs="宋体"/>
                <w:color w:val="auto"/>
                <w:szCs w:val="21"/>
              </w:rPr>
              <w:t>现案研判：对涉案人员及其相关要素进行关联分析，挖掘涉毒关系链分析结果。</w:t>
            </w:r>
          </w:p>
          <w:p w14:paraId="25C1D6FB">
            <w:pPr>
              <w:jc w:val="left"/>
              <w:rPr>
                <w:rFonts w:ascii="宋体" w:hAnsi="宋体" w:eastAsia="宋体" w:cs="宋体"/>
                <w:color w:val="auto"/>
                <w:szCs w:val="21"/>
              </w:rPr>
            </w:pPr>
            <w:r>
              <w:rPr>
                <w:rFonts w:hint="eastAsia" w:ascii="宋体" w:hAnsi="宋体" w:eastAsia="宋体" w:cs="宋体"/>
                <w:color w:val="auto"/>
                <w:szCs w:val="21"/>
              </w:rPr>
              <w:t>收网打处：分析、挖掘涉案人员历史GJ信息，识别涉案人员WZ信息分析结果。</w:t>
            </w:r>
          </w:p>
          <w:p w14:paraId="578285E7">
            <w:pPr>
              <w:jc w:val="left"/>
              <w:rPr>
                <w:rFonts w:ascii="宋体" w:hAnsi="宋体" w:eastAsia="宋体" w:cs="宋体"/>
                <w:b/>
                <w:bCs/>
                <w:color w:val="auto"/>
                <w:szCs w:val="21"/>
              </w:rPr>
            </w:pPr>
            <w:r>
              <w:rPr>
                <w:rFonts w:hint="eastAsia" w:ascii="宋体" w:hAnsi="宋体" w:eastAsia="宋体" w:cs="宋体"/>
                <w:b/>
                <w:bCs/>
                <w:color w:val="auto"/>
                <w:szCs w:val="21"/>
              </w:rPr>
              <w:t>3、其他要求</w:t>
            </w:r>
          </w:p>
          <w:p w14:paraId="3116BCBD">
            <w:pPr>
              <w:jc w:val="left"/>
              <w:rPr>
                <w:rFonts w:ascii="宋体" w:hAnsi="宋体" w:eastAsia="宋体" w:cs="宋体"/>
                <w:color w:val="auto"/>
                <w:szCs w:val="21"/>
              </w:rPr>
            </w:pPr>
            <w:r>
              <w:rPr>
                <w:rFonts w:hint="eastAsia" w:ascii="宋体" w:hAnsi="宋体" w:eastAsia="宋体" w:cs="宋体"/>
                <w:color w:val="auto"/>
                <w:szCs w:val="21"/>
              </w:rPr>
              <w:t>（1）系统应支持VPN通道，保障数据传输安全。</w:t>
            </w:r>
          </w:p>
          <w:p w14:paraId="10D3D171">
            <w:pPr>
              <w:jc w:val="left"/>
              <w:rPr>
                <w:rFonts w:ascii="宋体" w:hAnsi="宋体" w:eastAsia="宋体" w:cs="宋体"/>
                <w:color w:val="auto"/>
                <w:szCs w:val="21"/>
              </w:rPr>
            </w:pPr>
            <w:r>
              <w:rPr>
                <w:rFonts w:hint="eastAsia" w:ascii="宋体" w:hAnsi="宋体" w:eastAsia="宋体" w:cs="宋体"/>
                <w:color w:val="auto"/>
                <w:szCs w:val="21"/>
              </w:rPr>
              <w:t>（2）系统应支持准实时情报产出，7*24小时智能化情报推送。</w:t>
            </w:r>
          </w:p>
          <w:p w14:paraId="6F63F99A">
            <w:pPr>
              <w:jc w:val="left"/>
              <w:rPr>
                <w:rFonts w:ascii="宋体" w:hAnsi="宋体" w:eastAsia="宋体" w:cs="宋体"/>
                <w:color w:val="auto"/>
                <w:szCs w:val="21"/>
              </w:rPr>
            </w:pPr>
            <w:r>
              <w:rPr>
                <w:rFonts w:hint="eastAsia" w:ascii="宋体" w:hAnsi="宋体" w:eastAsia="宋体" w:cs="宋体"/>
                <w:color w:val="auto"/>
                <w:szCs w:val="21"/>
              </w:rPr>
              <w:t>（3）系统部署后，48小时内产出分析结果。</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0C8B89D1">
            <w:pPr>
              <w:widowControl/>
              <w:jc w:val="center"/>
              <w:rPr>
                <w:rFonts w:ascii="宋体" w:hAnsi="宋体" w:eastAsia="宋体" w:cs="宋体"/>
                <w:color w:val="auto"/>
                <w:szCs w:val="21"/>
              </w:rPr>
            </w:pPr>
            <w:r>
              <w:rPr>
                <w:rFonts w:hint="eastAsia" w:ascii="宋体" w:hAnsi="宋体" w:eastAsia="宋体" w:cs="宋体"/>
                <w:color w:val="auto"/>
                <w:szCs w:val="21"/>
              </w:rPr>
              <w:t>个</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7EB8BA48">
            <w:pPr>
              <w:widowControl/>
              <w:jc w:val="center"/>
              <w:rPr>
                <w:rFonts w:ascii="宋体" w:hAnsi="宋体" w:eastAsia="宋体" w:cs="宋体"/>
                <w:color w:val="auto"/>
                <w:szCs w:val="21"/>
              </w:rPr>
            </w:pPr>
            <w:r>
              <w:rPr>
                <w:rFonts w:hint="eastAsia" w:ascii="宋体" w:hAnsi="宋体" w:eastAsia="宋体" w:cs="宋体"/>
                <w:color w:val="auto"/>
                <w:szCs w:val="21"/>
              </w:rPr>
              <w:t>1</w:t>
            </w:r>
          </w:p>
        </w:tc>
      </w:tr>
      <w:tr w14:paraId="2DBE823A">
        <w:tblPrEx>
          <w:tblCellMar>
            <w:top w:w="0" w:type="dxa"/>
            <w:left w:w="108" w:type="dxa"/>
            <w:bottom w:w="0" w:type="dxa"/>
            <w:right w:w="108" w:type="dxa"/>
          </w:tblCellMar>
        </w:tblPrEx>
        <w:trPr>
          <w:trHeight w:val="480" w:hRule="atLeast"/>
        </w:trPr>
        <w:tc>
          <w:tcPr>
            <w:tcW w:w="435" w:type="pct"/>
            <w:tcBorders>
              <w:top w:val="single" w:color="000000" w:sz="4" w:space="0"/>
              <w:left w:val="single" w:color="000000" w:sz="4" w:space="0"/>
              <w:bottom w:val="single" w:color="000000" w:sz="4" w:space="0"/>
              <w:right w:val="single" w:color="000000" w:sz="4" w:space="0"/>
            </w:tcBorders>
            <w:noWrap w:val="0"/>
            <w:vAlign w:val="center"/>
          </w:tcPr>
          <w:p w14:paraId="38BD2239">
            <w:pPr>
              <w:widowControl/>
              <w:jc w:val="center"/>
              <w:rPr>
                <w:rFonts w:ascii="宋体" w:hAnsi="宋体" w:eastAsia="宋体" w:cs="宋体"/>
                <w:color w:val="auto"/>
                <w:szCs w:val="21"/>
              </w:rPr>
            </w:pPr>
            <w:r>
              <w:rPr>
                <w:rFonts w:hint="eastAsia" w:ascii="宋体" w:hAnsi="宋体" w:eastAsia="宋体" w:cs="宋体"/>
                <w:color w:val="auto"/>
                <w:szCs w:val="21"/>
              </w:rPr>
              <w:t>3</w:t>
            </w:r>
          </w:p>
        </w:tc>
        <w:tc>
          <w:tcPr>
            <w:tcW w:w="587" w:type="pct"/>
            <w:tcBorders>
              <w:top w:val="single" w:color="000000" w:sz="4" w:space="0"/>
              <w:left w:val="single" w:color="000000" w:sz="4" w:space="0"/>
              <w:bottom w:val="single" w:color="000000" w:sz="4" w:space="0"/>
              <w:right w:val="single" w:color="000000" w:sz="4" w:space="0"/>
            </w:tcBorders>
            <w:noWrap w:val="0"/>
            <w:vAlign w:val="center"/>
          </w:tcPr>
          <w:p w14:paraId="37F578B4">
            <w:pPr>
              <w:widowControl/>
              <w:jc w:val="center"/>
              <w:rPr>
                <w:rFonts w:ascii="宋体" w:hAnsi="宋体" w:eastAsia="宋体" w:cs="宋体"/>
                <w:color w:val="auto"/>
                <w:szCs w:val="21"/>
              </w:rPr>
            </w:pPr>
            <w:r>
              <w:rPr>
                <w:rFonts w:hint="eastAsia" w:ascii="宋体" w:hAnsi="宋体" w:eastAsia="宋体" w:cs="宋体"/>
                <w:color w:val="auto"/>
                <w:szCs w:val="21"/>
              </w:rPr>
              <w:t>类似寻燕业务智能分析服务</w:t>
            </w:r>
          </w:p>
        </w:tc>
        <w:tc>
          <w:tcPr>
            <w:tcW w:w="3175" w:type="pct"/>
            <w:tcBorders>
              <w:top w:val="single" w:color="000000" w:sz="4" w:space="0"/>
              <w:left w:val="single" w:color="000000" w:sz="4" w:space="0"/>
              <w:bottom w:val="single" w:color="000000" w:sz="4" w:space="0"/>
              <w:right w:val="single" w:color="000000" w:sz="4" w:space="0"/>
            </w:tcBorders>
            <w:noWrap w:val="0"/>
            <w:vAlign w:val="center"/>
          </w:tcPr>
          <w:p w14:paraId="42D0D8B3">
            <w:pPr>
              <w:jc w:val="left"/>
              <w:rPr>
                <w:rFonts w:ascii="宋体" w:hAnsi="宋体" w:eastAsia="宋体" w:cs="宋体"/>
                <w:b/>
                <w:bCs/>
                <w:color w:val="auto"/>
                <w:szCs w:val="21"/>
              </w:rPr>
            </w:pPr>
            <w:r>
              <w:rPr>
                <w:rFonts w:hint="eastAsia" w:ascii="宋体" w:hAnsi="宋体" w:eastAsia="宋体" w:cs="宋体"/>
                <w:b/>
                <w:bCs/>
                <w:color w:val="auto"/>
                <w:szCs w:val="21"/>
              </w:rPr>
              <w:t>1、服务基本要求</w:t>
            </w:r>
          </w:p>
          <w:p w14:paraId="4146CC2F">
            <w:pPr>
              <w:jc w:val="left"/>
              <w:rPr>
                <w:rFonts w:ascii="宋体" w:hAnsi="宋体" w:eastAsia="宋体" w:cs="宋体"/>
                <w:color w:val="auto"/>
                <w:szCs w:val="21"/>
              </w:rPr>
            </w:pPr>
            <w:r>
              <w:rPr>
                <w:rFonts w:hint="eastAsia" w:ascii="宋体" w:hAnsi="宋体" w:eastAsia="宋体" w:cs="宋体"/>
                <w:color w:val="auto"/>
                <w:szCs w:val="21"/>
              </w:rPr>
              <w:t>（1）系统服务平台为Web端服务平台。</w:t>
            </w:r>
          </w:p>
          <w:p w14:paraId="77CA1DCC">
            <w:pPr>
              <w:jc w:val="left"/>
              <w:rPr>
                <w:rFonts w:ascii="宋体" w:hAnsi="宋体" w:eastAsia="宋体" w:cs="宋体"/>
                <w:color w:val="auto"/>
                <w:szCs w:val="21"/>
              </w:rPr>
            </w:pPr>
            <w:r>
              <w:rPr>
                <w:rFonts w:hint="eastAsia" w:ascii="宋体" w:hAnsi="宋体" w:eastAsia="宋体" w:cs="宋体"/>
                <w:color w:val="auto"/>
                <w:szCs w:val="21"/>
              </w:rPr>
              <w:t>（2）可以针对事实清晰、法律手续齐备的特定DX进行使用。</w:t>
            </w:r>
          </w:p>
          <w:p w14:paraId="423BDFB4">
            <w:pPr>
              <w:jc w:val="left"/>
              <w:rPr>
                <w:rFonts w:ascii="宋体" w:hAnsi="宋体" w:eastAsia="宋体" w:cs="宋体"/>
                <w:b/>
                <w:bCs/>
                <w:color w:val="auto"/>
                <w:szCs w:val="21"/>
              </w:rPr>
            </w:pPr>
            <w:r>
              <w:rPr>
                <w:rFonts w:hint="eastAsia" w:ascii="宋体" w:hAnsi="宋体" w:eastAsia="宋体" w:cs="宋体"/>
                <w:b/>
                <w:bCs/>
                <w:color w:val="auto"/>
                <w:szCs w:val="21"/>
              </w:rPr>
              <w:t>2、提供服务的软件主要功能</w:t>
            </w:r>
          </w:p>
          <w:p w14:paraId="29E121E3">
            <w:pPr>
              <w:jc w:val="left"/>
              <w:rPr>
                <w:rFonts w:ascii="宋体" w:hAnsi="宋体" w:eastAsia="宋体" w:cs="宋体"/>
                <w:color w:val="auto"/>
                <w:szCs w:val="21"/>
              </w:rPr>
            </w:pPr>
            <w:r>
              <w:rPr>
                <w:rFonts w:hint="eastAsia" w:ascii="宋体" w:hAnsi="宋体" w:eastAsia="宋体" w:cs="宋体"/>
                <w:color w:val="auto"/>
                <w:szCs w:val="21"/>
              </w:rPr>
              <w:t>Web端业务智能分析服务包含平台管理、类案风险、情报发现风险筛查、初侦初查、现案研判、窝点研判、收网打处等核心模块。</w:t>
            </w:r>
          </w:p>
          <w:p w14:paraId="0F5D637E">
            <w:pPr>
              <w:jc w:val="left"/>
              <w:rPr>
                <w:rFonts w:ascii="宋体" w:hAnsi="宋体" w:eastAsia="宋体" w:cs="宋体"/>
                <w:color w:val="auto"/>
                <w:szCs w:val="21"/>
              </w:rPr>
            </w:pPr>
            <w:r>
              <w:rPr>
                <w:rFonts w:hint="eastAsia" w:ascii="宋体" w:hAnsi="宋体" w:eastAsia="宋体" w:cs="宋体"/>
                <w:color w:val="auto"/>
                <w:szCs w:val="21"/>
              </w:rPr>
              <w:t>（1）平台管理服务：业务需求流转支撑及账号管理服务、VPN安全管理、使用日志审计。</w:t>
            </w:r>
          </w:p>
          <w:p w14:paraId="0BFC193D">
            <w:pPr>
              <w:jc w:val="left"/>
              <w:rPr>
                <w:rFonts w:ascii="宋体" w:hAnsi="宋体" w:eastAsia="宋体" w:cs="宋体"/>
                <w:color w:val="auto"/>
                <w:szCs w:val="21"/>
              </w:rPr>
            </w:pPr>
            <w:r>
              <w:rPr>
                <w:rFonts w:hint="eastAsia" w:ascii="宋体" w:hAnsi="宋体" w:eastAsia="宋体" w:cs="宋体"/>
                <w:color w:val="auto"/>
                <w:szCs w:val="21"/>
              </w:rPr>
              <w:t>（2）类案风险：通过特征工程建设，构建烟草类案、保健食品类案、民生食品类案和野生动植物保护类案等多种类案的风险识别能力。</w:t>
            </w:r>
          </w:p>
          <w:p w14:paraId="393F8A23">
            <w:pPr>
              <w:jc w:val="left"/>
              <w:rPr>
                <w:rFonts w:ascii="宋体" w:hAnsi="宋体" w:eastAsia="宋体" w:cs="宋体"/>
                <w:color w:val="auto"/>
                <w:szCs w:val="21"/>
              </w:rPr>
            </w:pPr>
            <w:r>
              <w:rPr>
                <w:rFonts w:hint="eastAsia" w:ascii="宋体" w:hAnsi="宋体" w:eastAsia="宋体" w:cs="宋体"/>
                <w:color w:val="auto"/>
                <w:szCs w:val="21"/>
              </w:rPr>
              <w:t>（3）情报发现风险筛查：运用业务实战技战法，通过对已掌握风险人群的高风险行为及特征的分析识别，助力筛查本辖的风险情报。</w:t>
            </w:r>
          </w:p>
          <w:p w14:paraId="3D61ECE9">
            <w:pPr>
              <w:jc w:val="left"/>
              <w:rPr>
                <w:rFonts w:ascii="宋体" w:hAnsi="宋体" w:eastAsia="宋体" w:cs="宋体"/>
                <w:color w:val="auto"/>
                <w:szCs w:val="21"/>
              </w:rPr>
            </w:pPr>
            <w:r>
              <w:rPr>
                <w:rFonts w:hint="eastAsia" w:ascii="宋体" w:hAnsi="宋体" w:eastAsia="宋体" w:cs="宋体"/>
                <w:color w:val="auto"/>
                <w:szCs w:val="21"/>
              </w:rPr>
              <w:t>（4）初侦初查：通过对涉案要素多维关联分析，发现、提取更具真实性、指向性的涉案人员、设备等分析结果。</w:t>
            </w:r>
          </w:p>
          <w:p w14:paraId="5880CBD7">
            <w:pPr>
              <w:jc w:val="left"/>
              <w:rPr>
                <w:rFonts w:ascii="宋体" w:hAnsi="宋体" w:eastAsia="宋体" w:cs="宋体"/>
                <w:color w:val="auto"/>
                <w:szCs w:val="21"/>
              </w:rPr>
            </w:pPr>
            <w:r>
              <w:rPr>
                <w:rFonts w:hint="eastAsia" w:ascii="宋体" w:hAnsi="宋体" w:eastAsia="宋体" w:cs="宋体"/>
                <w:color w:val="auto"/>
                <w:szCs w:val="21"/>
              </w:rPr>
              <w:t>（5）现案研判：对涉案人员及其相关要素进行关联分析，挖掘涉案关系链分析结果。</w:t>
            </w:r>
          </w:p>
          <w:p w14:paraId="16DCFE6A">
            <w:pPr>
              <w:jc w:val="left"/>
              <w:rPr>
                <w:rFonts w:ascii="宋体" w:hAnsi="宋体" w:eastAsia="宋体" w:cs="宋体"/>
                <w:color w:val="auto"/>
                <w:szCs w:val="21"/>
              </w:rPr>
            </w:pPr>
            <w:r>
              <w:rPr>
                <w:rFonts w:hint="eastAsia" w:ascii="宋体" w:hAnsi="宋体" w:eastAsia="宋体" w:cs="宋体"/>
                <w:color w:val="auto"/>
                <w:szCs w:val="21"/>
              </w:rPr>
              <w:t>（6）窝点研判：针对已知的涉案窝点，识别窝点内的风险人员、要素及其活动规律，助力窝点的风险性质研判与风险人员摸排。</w:t>
            </w:r>
          </w:p>
          <w:p w14:paraId="7575A21A">
            <w:pPr>
              <w:jc w:val="left"/>
              <w:rPr>
                <w:rFonts w:ascii="宋体" w:hAnsi="宋体" w:eastAsia="宋体" w:cs="宋体"/>
                <w:color w:val="auto"/>
                <w:szCs w:val="21"/>
              </w:rPr>
            </w:pPr>
            <w:r>
              <w:rPr>
                <w:rFonts w:hint="eastAsia" w:ascii="宋体" w:hAnsi="宋体" w:eastAsia="宋体" w:cs="宋体"/>
                <w:color w:val="auto"/>
                <w:szCs w:val="21"/>
              </w:rPr>
              <w:t>（7）收网打处：分析、挖掘涉案人员历史GJ信息，识别涉案人员WZ信息分析结果。</w:t>
            </w:r>
          </w:p>
          <w:p w14:paraId="035C75F8">
            <w:pPr>
              <w:jc w:val="left"/>
              <w:rPr>
                <w:rFonts w:ascii="宋体" w:hAnsi="宋体" w:eastAsia="宋体" w:cs="宋体"/>
                <w:b/>
                <w:bCs/>
                <w:color w:val="auto"/>
                <w:szCs w:val="21"/>
              </w:rPr>
            </w:pPr>
            <w:r>
              <w:rPr>
                <w:rFonts w:hint="eastAsia" w:ascii="宋体" w:hAnsi="宋体" w:eastAsia="宋体" w:cs="宋体"/>
                <w:b/>
                <w:bCs/>
                <w:color w:val="auto"/>
                <w:szCs w:val="21"/>
              </w:rPr>
              <w:t>3、其他要求</w:t>
            </w:r>
          </w:p>
          <w:p w14:paraId="4C62A14C">
            <w:pPr>
              <w:jc w:val="left"/>
              <w:rPr>
                <w:rFonts w:ascii="宋体" w:hAnsi="宋体" w:eastAsia="宋体" w:cs="宋体"/>
                <w:color w:val="auto"/>
                <w:szCs w:val="21"/>
              </w:rPr>
            </w:pPr>
            <w:r>
              <w:rPr>
                <w:rFonts w:hint="eastAsia" w:ascii="宋体" w:hAnsi="宋体" w:eastAsia="宋体" w:cs="宋体"/>
                <w:color w:val="auto"/>
                <w:szCs w:val="21"/>
              </w:rPr>
              <w:t>（1）系统架构和性能：</w:t>
            </w:r>
          </w:p>
          <w:p w14:paraId="4385C6B8">
            <w:pPr>
              <w:jc w:val="left"/>
              <w:rPr>
                <w:rFonts w:ascii="宋体" w:hAnsi="宋体" w:eastAsia="宋体" w:cs="宋体"/>
                <w:color w:val="auto"/>
                <w:szCs w:val="21"/>
              </w:rPr>
            </w:pPr>
            <w:r>
              <w:rPr>
                <w:rFonts w:hint="eastAsia" w:ascii="宋体" w:hAnsi="宋体" w:eastAsia="宋体" w:cs="宋体"/>
                <w:color w:val="auto"/>
                <w:szCs w:val="21"/>
              </w:rPr>
              <w:t>响应时间：接口平均响应时长200ms以内，页面打开渲染平均时长3秒以内。</w:t>
            </w:r>
          </w:p>
          <w:p w14:paraId="5773345C">
            <w:pPr>
              <w:jc w:val="left"/>
              <w:rPr>
                <w:rFonts w:ascii="宋体" w:hAnsi="宋体" w:eastAsia="宋体" w:cs="宋体"/>
                <w:color w:val="auto"/>
                <w:szCs w:val="21"/>
              </w:rPr>
            </w:pPr>
            <w:r>
              <w:rPr>
                <w:rFonts w:hint="eastAsia" w:ascii="宋体" w:hAnsi="宋体" w:eastAsia="宋体" w:cs="宋体"/>
                <w:color w:val="auto"/>
                <w:szCs w:val="21"/>
              </w:rPr>
              <w:t>可扩展性：支持横向扩展和纵向扩展，支持动态弹性扩缩容。</w:t>
            </w:r>
          </w:p>
          <w:p w14:paraId="393043AE">
            <w:pPr>
              <w:jc w:val="left"/>
              <w:rPr>
                <w:rFonts w:ascii="宋体" w:hAnsi="宋体" w:eastAsia="宋体" w:cs="宋体"/>
                <w:color w:val="auto"/>
                <w:szCs w:val="21"/>
              </w:rPr>
            </w:pPr>
            <w:r>
              <w:rPr>
                <w:rFonts w:hint="eastAsia" w:ascii="宋体" w:hAnsi="宋体" w:eastAsia="宋体" w:cs="宋体"/>
                <w:color w:val="auto"/>
                <w:szCs w:val="21"/>
              </w:rPr>
              <w:t>（2）系统可用性指标：</w:t>
            </w:r>
          </w:p>
          <w:p w14:paraId="644B742A">
            <w:pPr>
              <w:jc w:val="left"/>
              <w:rPr>
                <w:rFonts w:ascii="宋体" w:hAnsi="宋体" w:eastAsia="宋体" w:cs="宋体"/>
                <w:color w:val="auto"/>
                <w:szCs w:val="21"/>
              </w:rPr>
            </w:pPr>
            <w:r>
              <w:rPr>
                <w:rFonts w:hint="eastAsia" w:ascii="宋体" w:hAnsi="宋体" w:eastAsia="宋体" w:cs="宋体"/>
                <w:color w:val="auto"/>
                <w:szCs w:val="21"/>
              </w:rPr>
              <w:t>可用性 99.6%，系统支持7×24小时不间断服务，最大不可用时间不超过36小时。</w:t>
            </w:r>
          </w:p>
          <w:p w14:paraId="2BDF6B08">
            <w:pPr>
              <w:jc w:val="left"/>
              <w:rPr>
                <w:rFonts w:ascii="宋体" w:hAnsi="宋体" w:eastAsia="宋体" w:cs="宋体"/>
                <w:color w:val="auto"/>
                <w:szCs w:val="21"/>
              </w:rPr>
            </w:pPr>
            <w:r>
              <w:rPr>
                <w:rFonts w:hint="eastAsia" w:ascii="宋体" w:hAnsi="宋体" w:eastAsia="宋体" w:cs="宋体"/>
                <w:color w:val="auto"/>
                <w:szCs w:val="21"/>
              </w:rPr>
              <w:t>全链路实时预警，1分钟发现问题，30分钟定位到问题，30分钟完成止血。</w:t>
            </w:r>
          </w:p>
          <w:p w14:paraId="695C962F">
            <w:pPr>
              <w:jc w:val="left"/>
              <w:rPr>
                <w:rFonts w:ascii="宋体" w:hAnsi="宋体" w:eastAsia="宋体" w:cs="宋体"/>
                <w:color w:val="auto"/>
                <w:szCs w:val="21"/>
              </w:rPr>
            </w:pPr>
            <w:r>
              <w:rPr>
                <w:rFonts w:hint="eastAsia" w:ascii="宋体" w:hAnsi="宋体" w:eastAsia="宋体" w:cs="宋体"/>
                <w:color w:val="auto"/>
                <w:szCs w:val="21"/>
              </w:rPr>
              <w:t>（3）安全性指标：</w:t>
            </w:r>
          </w:p>
          <w:p w14:paraId="37BC8D79">
            <w:pPr>
              <w:jc w:val="left"/>
              <w:rPr>
                <w:rFonts w:ascii="宋体" w:hAnsi="宋体" w:eastAsia="宋体" w:cs="宋体"/>
                <w:color w:val="auto"/>
                <w:szCs w:val="21"/>
              </w:rPr>
            </w:pPr>
            <w:r>
              <w:rPr>
                <w:rFonts w:hint="eastAsia" w:ascii="宋体" w:hAnsi="宋体" w:eastAsia="宋体" w:cs="宋体"/>
                <w:color w:val="auto"/>
                <w:szCs w:val="21"/>
              </w:rPr>
              <w:t>系统模块间采用SSL技术来加密和数据保护。</w:t>
            </w:r>
          </w:p>
          <w:p w14:paraId="47BEBA98">
            <w:pPr>
              <w:jc w:val="left"/>
              <w:rPr>
                <w:rFonts w:ascii="宋体" w:hAnsi="宋体" w:eastAsia="宋体" w:cs="宋体"/>
                <w:color w:val="auto"/>
                <w:szCs w:val="21"/>
              </w:rPr>
            </w:pPr>
            <w:r>
              <w:rPr>
                <w:rFonts w:hint="eastAsia" w:ascii="宋体" w:hAnsi="宋体" w:eastAsia="宋体" w:cs="宋体"/>
                <w:color w:val="auto"/>
                <w:szCs w:val="21"/>
              </w:rPr>
              <w:t>支持OAuth、多因素认证等用户认证授权机制。</w:t>
            </w:r>
          </w:p>
          <w:p w14:paraId="69789308">
            <w:pPr>
              <w:jc w:val="left"/>
              <w:rPr>
                <w:rFonts w:ascii="宋体" w:hAnsi="宋体" w:eastAsia="宋体" w:cs="宋体"/>
                <w:color w:val="auto"/>
                <w:szCs w:val="21"/>
              </w:rPr>
            </w:pPr>
            <w:r>
              <w:rPr>
                <w:rFonts w:hint="eastAsia" w:ascii="宋体" w:hAnsi="宋体" w:eastAsia="宋体" w:cs="宋体"/>
                <w:color w:val="auto"/>
                <w:szCs w:val="21"/>
              </w:rPr>
              <w:t>支持异地容灾备份。</w:t>
            </w:r>
          </w:p>
          <w:p w14:paraId="7CA59CFC">
            <w:pPr>
              <w:jc w:val="left"/>
              <w:rPr>
                <w:rFonts w:ascii="宋体" w:hAnsi="宋体" w:eastAsia="宋体" w:cs="宋体"/>
                <w:color w:val="auto"/>
                <w:szCs w:val="21"/>
              </w:rPr>
            </w:pPr>
            <w:r>
              <w:rPr>
                <w:rFonts w:hint="eastAsia" w:ascii="宋体" w:hAnsi="宋体" w:eastAsia="宋体" w:cs="宋体"/>
                <w:color w:val="auto"/>
                <w:szCs w:val="21"/>
              </w:rPr>
              <w:t>（4）数据计算能力指标：</w:t>
            </w:r>
          </w:p>
          <w:p w14:paraId="3894B59F">
            <w:pPr>
              <w:jc w:val="left"/>
              <w:rPr>
                <w:rFonts w:ascii="宋体" w:hAnsi="宋体" w:eastAsia="宋体" w:cs="宋体"/>
                <w:color w:val="auto"/>
                <w:szCs w:val="21"/>
              </w:rPr>
            </w:pPr>
            <w:r>
              <w:rPr>
                <w:rFonts w:hint="eastAsia" w:ascii="宋体" w:hAnsi="宋体" w:eastAsia="宋体" w:cs="宋体"/>
                <w:color w:val="auto"/>
                <w:szCs w:val="21"/>
              </w:rPr>
              <w:t>2万CU的计算算力，分钟级PB计算能力，小时级EB计算能力。</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30D88EAF">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个</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794CDC3">
            <w:pPr>
              <w:widowControl/>
              <w:spacing w:line="360" w:lineRule="auto"/>
              <w:jc w:val="center"/>
              <w:rPr>
                <w:rFonts w:ascii="宋体" w:hAnsi="宋体" w:eastAsia="宋体" w:cs="宋体"/>
                <w:color w:val="auto"/>
                <w:szCs w:val="21"/>
              </w:rPr>
            </w:pPr>
            <w:r>
              <w:rPr>
                <w:rFonts w:hint="eastAsia" w:ascii="宋体" w:hAnsi="宋体" w:eastAsia="宋体" w:cs="宋体"/>
                <w:color w:val="auto"/>
                <w:szCs w:val="21"/>
              </w:rPr>
              <w:t>2</w:t>
            </w:r>
          </w:p>
        </w:tc>
      </w:tr>
    </w:tbl>
    <w:p w14:paraId="0DD5B0C8">
      <w:pPr>
        <w:pStyle w:val="199"/>
        <w:spacing w:line="360" w:lineRule="auto"/>
        <w:ind w:firstLine="422"/>
        <w:jc w:val="left"/>
        <w:rPr>
          <w:rFonts w:ascii="宋体" w:hAnsi="宋体" w:cs="宋体"/>
          <w:b/>
          <w:color w:val="auto"/>
          <w:szCs w:val="21"/>
        </w:rPr>
      </w:pPr>
      <w:r>
        <w:rPr>
          <w:rFonts w:hint="eastAsia" w:ascii="宋体" w:hAnsi="宋体" w:cs="宋体"/>
          <w:b/>
          <w:color w:val="auto"/>
          <w:szCs w:val="21"/>
        </w:rPr>
        <w:t>备注：查询次数无限制</w:t>
      </w:r>
    </w:p>
    <w:p w14:paraId="539C6955">
      <w:pPr>
        <w:pStyle w:val="199"/>
        <w:spacing w:line="360" w:lineRule="auto"/>
        <w:ind w:firstLine="422"/>
        <w:jc w:val="left"/>
        <w:rPr>
          <w:rFonts w:ascii="宋体" w:hAnsi="宋体" w:cs="宋体"/>
          <w:b/>
          <w:color w:val="auto"/>
          <w:szCs w:val="21"/>
        </w:rPr>
      </w:pPr>
      <w:r>
        <w:rPr>
          <w:rFonts w:hint="eastAsia" w:ascii="宋体" w:hAnsi="宋体" w:cs="宋体"/>
          <w:b/>
          <w:color w:val="auto"/>
          <w:szCs w:val="21"/>
        </w:rPr>
        <w:t>二、售后服务要求</w:t>
      </w:r>
    </w:p>
    <w:p w14:paraId="3FD079DE">
      <w:pPr>
        <w:pStyle w:val="199"/>
        <w:spacing w:line="360" w:lineRule="auto"/>
        <w:jc w:val="left"/>
        <w:rPr>
          <w:rFonts w:ascii="宋体" w:hAnsi="宋体" w:cs="宋体"/>
          <w:bCs/>
          <w:color w:val="auto"/>
          <w:szCs w:val="21"/>
        </w:rPr>
      </w:pPr>
      <w:r>
        <w:rPr>
          <w:rFonts w:hint="eastAsia" w:ascii="宋体" w:hAnsi="宋体" w:cs="宋体"/>
          <w:bCs/>
          <w:color w:val="auto"/>
          <w:szCs w:val="21"/>
        </w:rPr>
        <w:t>★1.中标人应提供售后服务承诺书、联系人和联系电话，能够长期提供良好的技术支持。</w:t>
      </w:r>
    </w:p>
    <w:p w14:paraId="3EF8F9EF">
      <w:pPr>
        <w:pStyle w:val="199"/>
        <w:spacing w:line="360" w:lineRule="auto"/>
        <w:jc w:val="left"/>
        <w:rPr>
          <w:rFonts w:ascii="宋体" w:hAnsi="宋体" w:cs="宋体"/>
          <w:bCs/>
          <w:color w:val="auto"/>
          <w:szCs w:val="21"/>
        </w:rPr>
      </w:pPr>
      <w:r>
        <w:rPr>
          <w:rFonts w:hint="eastAsia" w:ascii="宋体" w:hAnsi="宋体" w:cs="宋体"/>
          <w:bCs/>
          <w:color w:val="auto"/>
          <w:szCs w:val="21"/>
        </w:rPr>
        <w:t>★2.服务响应时间要求：提供7×24小时电话响应服务，响应时间为1小时。</w:t>
      </w:r>
    </w:p>
    <w:p w14:paraId="2CFC4C64">
      <w:pPr>
        <w:pStyle w:val="199"/>
        <w:spacing w:line="360" w:lineRule="auto"/>
        <w:jc w:val="left"/>
        <w:rPr>
          <w:rFonts w:ascii="宋体" w:hAnsi="宋体" w:cs="宋体"/>
          <w:bCs/>
          <w:color w:val="auto"/>
          <w:szCs w:val="21"/>
        </w:rPr>
      </w:pPr>
      <w:r>
        <w:rPr>
          <w:rFonts w:hint="eastAsia" w:ascii="宋体" w:hAnsi="宋体" w:cs="宋体"/>
          <w:bCs/>
          <w:color w:val="auto"/>
          <w:szCs w:val="21"/>
        </w:rPr>
        <w:t>★3.中标人应能提供多种形式的技术支持服务，解决软件出现的技术问题。</w:t>
      </w:r>
    </w:p>
    <w:p w14:paraId="2C9C497A">
      <w:pPr>
        <w:pStyle w:val="199"/>
        <w:spacing w:line="360" w:lineRule="auto"/>
        <w:jc w:val="left"/>
        <w:rPr>
          <w:rFonts w:ascii="宋体" w:hAnsi="宋体" w:cs="宋体"/>
          <w:bCs/>
          <w:color w:val="auto"/>
          <w:szCs w:val="21"/>
        </w:rPr>
      </w:pPr>
      <w:r>
        <w:rPr>
          <w:rFonts w:hint="eastAsia" w:ascii="宋体" w:hAnsi="宋体" w:cs="宋体"/>
          <w:bCs/>
          <w:color w:val="auto"/>
          <w:szCs w:val="21"/>
        </w:rPr>
        <w:t>★4.投标人应按其投标文件中的承诺，进行其他售后服务工作。</w:t>
      </w:r>
    </w:p>
    <w:p w14:paraId="2DC79453">
      <w:pPr>
        <w:pStyle w:val="199"/>
        <w:spacing w:line="360" w:lineRule="auto"/>
        <w:ind w:firstLine="422"/>
        <w:jc w:val="left"/>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说明：以上四项（标★项）为实质性要求，投标时提供以上响应承诺函加盖投标人公章（格式自拟），未提供的按未实质性响应处理。</w:t>
      </w:r>
    </w:p>
    <w:p w14:paraId="14882ECD">
      <w:pPr>
        <w:pStyle w:val="199"/>
        <w:spacing w:line="360" w:lineRule="auto"/>
        <w:ind w:firstLine="422"/>
        <w:jc w:val="left"/>
        <w:rPr>
          <w:rFonts w:ascii="宋体" w:hAnsi="宋体" w:cs="宋体"/>
          <w:b/>
          <w:color w:val="auto"/>
          <w:szCs w:val="21"/>
        </w:rPr>
      </w:pPr>
      <w:r>
        <w:rPr>
          <w:rFonts w:hint="eastAsia" w:ascii="宋体" w:hAnsi="宋体" w:cs="宋体"/>
          <w:b/>
          <w:color w:val="auto"/>
          <w:szCs w:val="21"/>
        </w:rPr>
        <w:t>三、验收说明</w:t>
      </w:r>
    </w:p>
    <w:p w14:paraId="70A6FE53">
      <w:pPr>
        <w:pStyle w:val="199"/>
        <w:spacing w:line="360" w:lineRule="auto"/>
        <w:jc w:val="left"/>
        <w:rPr>
          <w:rFonts w:ascii="宋体" w:hAnsi="宋体" w:cs="宋体"/>
          <w:bCs/>
          <w:color w:val="auto"/>
          <w:szCs w:val="21"/>
        </w:rPr>
      </w:pPr>
      <w:r>
        <w:rPr>
          <w:rFonts w:hint="eastAsia" w:ascii="宋体" w:hAnsi="宋体" w:cs="宋体"/>
          <w:bCs/>
          <w:color w:val="auto"/>
          <w:szCs w:val="21"/>
        </w:rPr>
        <w:t>按照招标文件规定的技术、服务等要求由采购人组织对中标人履约的验收。</w:t>
      </w:r>
    </w:p>
    <w:p w14:paraId="52189003">
      <w:pPr>
        <w:pStyle w:val="199"/>
        <w:spacing w:line="360" w:lineRule="auto"/>
        <w:ind w:firstLine="422"/>
        <w:jc w:val="left"/>
        <w:rPr>
          <w:rFonts w:ascii="宋体" w:hAnsi="宋体" w:cs="宋体"/>
          <w:b/>
          <w:color w:val="auto"/>
          <w:szCs w:val="21"/>
        </w:rPr>
      </w:pPr>
      <w:r>
        <w:rPr>
          <w:rFonts w:hint="eastAsia" w:ascii="宋体" w:hAnsi="宋体" w:cs="宋体"/>
          <w:b/>
          <w:color w:val="auto"/>
          <w:szCs w:val="21"/>
        </w:rPr>
        <w:t>四、培训要求</w:t>
      </w:r>
    </w:p>
    <w:p w14:paraId="29D5985A">
      <w:pPr>
        <w:pStyle w:val="199"/>
        <w:spacing w:line="360" w:lineRule="auto"/>
        <w:jc w:val="left"/>
        <w:rPr>
          <w:rFonts w:ascii="宋体" w:hAnsi="宋体" w:cs="宋体"/>
          <w:bCs/>
          <w:color w:val="auto"/>
          <w:szCs w:val="21"/>
        </w:rPr>
      </w:pPr>
      <w:r>
        <w:rPr>
          <w:rFonts w:hint="eastAsia" w:ascii="宋体" w:hAnsi="宋体" w:cs="宋体"/>
          <w:bCs/>
          <w:color w:val="auto"/>
          <w:szCs w:val="21"/>
        </w:rPr>
        <w:t>★1.投标人提供免费上门培训，有完善的培训计划，并附详细培训课程。</w:t>
      </w:r>
    </w:p>
    <w:p w14:paraId="40C60DAE">
      <w:pPr>
        <w:pStyle w:val="199"/>
        <w:spacing w:line="360" w:lineRule="auto"/>
        <w:jc w:val="left"/>
        <w:rPr>
          <w:rFonts w:ascii="宋体" w:hAnsi="宋体" w:cs="宋体"/>
          <w:bCs/>
          <w:color w:val="auto"/>
          <w:szCs w:val="21"/>
        </w:rPr>
      </w:pPr>
      <w:r>
        <w:rPr>
          <w:rFonts w:hint="eastAsia" w:ascii="宋体" w:hAnsi="宋体" w:cs="宋体"/>
          <w:bCs/>
          <w:color w:val="auto"/>
          <w:szCs w:val="21"/>
        </w:rPr>
        <w:t>★2.投标人提供技术资料完善，产品介绍详细，产品功能贴近实战。</w:t>
      </w:r>
    </w:p>
    <w:p w14:paraId="00A97340">
      <w:pPr>
        <w:pStyle w:val="199"/>
        <w:spacing w:line="360" w:lineRule="auto"/>
        <w:jc w:val="left"/>
        <w:rPr>
          <w:rFonts w:ascii="宋体" w:hAnsi="宋体" w:cs="宋体"/>
          <w:bCs/>
          <w:color w:val="auto"/>
          <w:szCs w:val="21"/>
        </w:rPr>
      </w:pPr>
      <w:r>
        <w:rPr>
          <w:rFonts w:hint="eastAsia" w:ascii="宋体" w:hAnsi="宋体" w:cs="宋体"/>
          <w:bCs/>
          <w:color w:val="auto"/>
          <w:szCs w:val="21"/>
        </w:rPr>
        <w:t>★3.售后服务方案具体、详细、合理可行，可操作性强。</w:t>
      </w:r>
    </w:p>
    <w:p w14:paraId="5A06A9C4">
      <w:pPr>
        <w:pStyle w:val="199"/>
        <w:spacing w:line="360" w:lineRule="auto"/>
        <w:ind w:firstLine="422"/>
        <w:jc w:val="left"/>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说明：以上三项（标★项）为实质性要求，投标时提供以上响应服务内容并加盖投标人公章，未提供的按未实质性响应处理。</w:t>
      </w:r>
    </w:p>
    <w:p w14:paraId="1B35AF45">
      <w:pPr>
        <w:pStyle w:val="199"/>
        <w:spacing w:line="360" w:lineRule="auto"/>
        <w:ind w:firstLine="422"/>
        <w:jc w:val="left"/>
        <w:rPr>
          <w:rFonts w:ascii="宋体" w:hAnsi="宋体" w:cs="宋体"/>
          <w:b/>
          <w:color w:val="auto"/>
          <w:szCs w:val="21"/>
        </w:rPr>
      </w:pPr>
      <w:r>
        <w:rPr>
          <w:rFonts w:hint="eastAsia" w:ascii="宋体" w:hAnsi="宋体" w:cs="宋体"/>
          <w:b/>
          <w:color w:val="auto"/>
          <w:szCs w:val="21"/>
        </w:rPr>
        <w:t>五、其他要求</w:t>
      </w:r>
    </w:p>
    <w:p w14:paraId="29645158">
      <w:pPr>
        <w:pStyle w:val="199"/>
        <w:spacing w:line="360" w:lineRule="auto"/>
        <w:jc w:val="left"/>
        <w:rPr>
          <w:rFonts w:ascii="宋体" w:hAnsi="宋体" w:cs="宋体"/>
          <w:bCs/>
          <w:color w:val="auto"/>
          <w:szCs w:val="21"/>
        </w:rPr>
      </w:pPr>
      <w:r>
        <w:rPr>
          <w:rFonts w:hint="eastAsia" w:ascii="宋体" w:hAnsi="宋体" w:cs="宋体"/>
          <w:bCs/>
          <w:color w:val="auto"/>
          <w:szCs w:val="21"/>
        </w:rPr>
        <w:t>1.每季度提供各系统各账号使用情况分析报告1份；</w:t>
      </w:r>
    </w:p>
    <w:p w14:paraId="1F737773">
      <w:pPr>
        <w:pStyle w:val="2"/>
        <w:spacing w:line="360" w:lineRule="auto"/>
        <w:ind w:firstLine="420"/>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2.服务期内盐城地区各级公安机关追加购买账号单价不高于本项目成交单价。</w:t>
      </w:r>
    </w:p>
    <w:p w14:paraId="706B8E7D">
      <w:pPr>
        <w:rPr>
          <w:rFonts w:ascii="宋体" w:hAnsi="宋体" w:eastAsia="宋体" w:cs="宋体"/>
          <w:b/>
          <w:color w:val="auto"/>
          <w:szCs w:val="21"/>
        </w:rPr>
      </w:pPr>
      <w:r>
        <w:rPr>
          <w:rFonts w:hint="eastAsia" w:ascii="宋体" w:hAnsi="宋体" w:eastAsia="宋体" w:cs="宋体"/>
          <w:b/>
          <w:color w:val="auto"/>
          <w:szCs w:val="21"/>
        </w:rPr>
        <w:br w:type="page" w:clear="all"/>
      </w:r>
    </w:p>
    <w:p w14:paraId="06C1341B">
      <w:pPr>
        <w:pStyle w:val="2"/>
        <w:spacing w:line="360" w:lineRule="auto"/>
        <w:jc w:val="center"/>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采购6包：智能预警及终端分析查询服务</w:t>
      </w:r>
    </w:p>
    <w:p w14:paraId="0B1871B3">
      <w:pPr>
        <w:spacing w:line="360" w:lineRule="auto"/>
        <w:jc w:val="left"/>
        <w:rPr>
          <w:rFonts w:ascii="宋体" w:hAnsi="宋体" w:eastAsia="宋体" w:cs="宋体"/>
          <w:color w:val="auto"/>
          <w:szCs w:val="21"/>
        </w:rPr>
      </w:pPr>
      <w:r>
        <w:rPr>
          <w:rFonts w:hint="eastAsia" w:ascii="宋体" w:hAnsi="宋体" w:eastAsia="宋体" w:cs="宋体"/>
          <w:color w:val="auto"/>
          <w:szCs w:val="21"/>
        </w:rPr>
        <w:t>一、功能参数及主要商务条款</w:t>
      </w:r>
    </w:p>
    <w:p w14:paraId="6E856DA1">
      <w:pPr>
        <w:pStyle w:val="199"/>
        <w:widowControl/>
        <w:spacing w:line="360" w:lineRule="auto"/>
        <w:jc w:val="left"/>
        <w:rPr>
          <w:rFonts w:ascii="宋体" w:hAnsi="宋体" w:cs="宋体"/>
          <w:b/>
          <w:color w:val="auto"/>
          <w:szCs w:val="21"/>
        </w:rPr>
      </w:pPr>
      <w:r>
        <w:rPr>
          <w:rFonts w:hint="eastAsia" w:ascii="宋体" w:hAnsi="宋体" w:cs="宋体"/>
          <w:color w:val="auto"/>
          <w:szCs w:val="21"/>
          <w:shd w:val="clear" w:color="auto" w:fill="FFFFFF"/>
        </w:rPr>
        <w:t>如有需要具体功能详细说明，请与采购联系人联系</w:t>
      </w:r>
    </w:p>
    <w:p w14:paraId="1F37DBC4">
      <w:pPr>
        <w:pStyle w:val="2"/>
        <w:spacing w:line="360" w:lineRule="auto"/>
        <w:ind w:firstLine="420"/>
        <w:rPr>
          <w:rFonts w:ascii="宋体" w:hAnsi="宋体" w:eastAsia="宋体" w:cs="宋体"/>
          <w:b/>
          <w:color w:val="auto"/>
          <w:sz w:val="21"/>
          <w:szCs w:val="21"/>
          <w:lang w:eastAsia="zh-CN"/>
        </w:rPr>
      </w:pPr>
      <w:r>
        <w:rPr>
          <w:rFonts w:hint="eastAsia" w:ascii="宋体" w:hAnsi="宋体" w:eastAsia="宋体" w:cs="宋体"/>
          <w:bCs/>
          <w:color w:val="auto"/>
          <w:sz w:val="21"/>
          <w:szCs w:val="21"/>
          <w:lang w:eastAsia="zh-CN"/>
        </w:rPr>
        <w:t>提供3款智能研判分析系统平台服务，实现智能反诈预警，对目标终端开展数据查询，辅助侦查研判。服务期1年。</w:t>
      </w:r>
    </w:p>
    <w:tbl>
      <w:tblPr>
        <w:tblStyle w:val="35"/>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90"/>
        <w:gridCol w:w="8128"/>
      </w:tblGrid>
      <w:tr w14:paraId="278D67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noWrap w:val="0"/>
          </w:tcPr>
          <w:p w14:paraId="7403222B">
            <w:pPr>
              <w:pStyle w:val="201"/>
              <w:spacing w:line="360" w:lineRule="auto"/>
              <w:jc w:val="center"/>
              <w:rPr>
                <w:rFonts w:hint="default" w:ascii="宋体" w:hAnsi="宋体" w:eastAsia="宋体" w:cs="宋体"/>
                <w:b/>
                <w:bCs/>
                <w:color w:val="auto"/>
                <w:sz w:val="21"/>
                <w:szCs w:val="21"/>
              </w:rPr>
            </w:pPr>
            <w:r>
              <w:rPr>
                <w:rFonts w:ascii="宋体" w:hAnsi="宋体" w:eastAsia="宋体" w:cs="宋体"/>
                <w:b/>
                <w:bCs/>
                <w:color w:val="auto"/>
                <w:sz w:val="21"/>
                <w:szCs w:val="21"/>
              </w:rPr>
              <w:t>序号</w:t>
            </w:r>
          </w:p>
        </w:tc>
        <w:tc>
          <w:tcPr>
            <w:tcW w:w="7765" w:type="dxa"/>
            <w:noWrap w:val="0"/>
          </w:tcPr>
          <w:p w14:paraId="536D4E85">
            <w:pPr>
              <w:pStyle w:val="201"/>
              <w:spacing w:line="360" w:lineRule="auto"/>
              <w:jc w:val="center"/>
              <w:rPr>
                <w:rFonts w:hint="default" w:ascii="宋体" w:hAnsi="宋体" w:eastAsia="宋体" w:cs="宋体"/>
                <w:b/>
                <w:bCs/>
                <w:color w:val="auto"/>
                <w:sz w:val="21"/>
                <w:szCs w:val="21"/>
              </w:rPr>
            </w:pPr>
            <w:r>
              <w:rPr>
                <w:rFonts w:ascii="宋体" w:hAnsi="宋体" w:eastAsia="宋体" w:cs="宋体"/>
                <w:b/>
                <w:bCs/>
                <w:color w:val="auto"/>
                <w:sz w:val="21"/>
                <w:szCs w:val="21"/>
              </w:rPr>
              <w:t>具体技术(参数)要求</w:t>
            </w:r>
          </w:p>
        </w:tc>
      </w:tr>
      <w:tr w14:paraId="46602E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vMerge w:val="restart"/>
            <w:noWrap w:val="0"/>
            <w:vAlign w:val="center"/>
          </w:tcPr>
          <w:p w14:paraId="0B660A3C">
            <w:pPr>
              <w:pStyle w:val="201"/>
              <w:spacing w:line="360" w:lineRule="auto"/>
              <w:jc w:val="center"/>
              <w:rPr>
                <w:rFonts w:hint="default" w:ascii="宋体" w:hAnsi="宋体" w:eastAsia="宋体" w:cs="宋体"/>
                <w:color w:val="auto"/>
                <w:sz w:val="21"/>
                <w:szCs w:val="21"/>
                <w:lang w:eastAsia="zh-CN"/>
              </w:rPr>
            </w:pPr>
            <w:r>
              <w:rPr>
                <w:rFonts w:ascii="宋体" w:hAnsi="宋体" w:eastAsia="宋体" w:cs="宋体"/>
                <w:color w:val="auto"/>
                <w:sz w:val="21"/>
                <w:szCs w:val="21"/>
                <w:lang w:eastAsia="zh-CN"/>
              </w:rPr>
              <w:t>1</w:t>
            </w:r>
          </w:p>
        </w:tc>
        <w:tc>
          <w:tcPr>
            <w:tcW w:w="7765" w:type="dxa"/>
            <w:noWrap w:val="0"/>
          </w:tcPr>
          <w:p w14:paraId="0CB4C006">
            <w:pPr>
              <w:pStyle w:val="201"/>
              <w:jc w:val="both"/>
              <w:rPr>
                <w:rFonts w:hint="default" w:ascii="宋体" w:hAnsi="宋体" w:eastAsia="宋体" w:cs="宋体"/>
                <w:color w:val="auto"/>
                <w:sz w:val="21"/>
                <w:szCs w:val="21"/>
              </w:rPr>
            </w:pPr>
            <w:r>
              <w:rPr>
                <w:rFonts w:ascii="宋体" w:hAnsi="宋体" w:eastAsia="宋体" w:cs="宋体"/>
                <w:b/>
                <w:color w:val="auto"/>
                <w:sz w:val="21"/>
                <w:szCs w:val="21"/>
              </w:rPr>
              <w:t>服务要求：</w:t>
            </w:r>
          </w:p>
          <w:p w14:paraId="68D17A05">
            <w:pPr>
              <w:pStyle w:val="201"/>
              <w:jc w:val="both"/>
              <w:rPr>
                <w:rFonts w:hint="default" w:ascii="宋体" w:hAnsi="宋体" w:eastAsia="宋体" w:cs="宋体"/>
                <w:color w:val="auto"/>
                <w:sz w:val="21"/>
                <w:szCs w:val="21"/>
                <w:lang w:eastAsia="zh-CN"/>
              </w:rPr>
            </w:pPr>
            <w:r>
              <w:rPr>
                <w:rFonts w:ascii="宋体" w:hAnsi="宋体" w:eastAsia="宋体" w:cs="宋体"/>
                <w:color w:val="auto"/>
                <w:sz w:val="21"/>
                <w:szCs w:val="21"/>
                <w:lang w:eastAsia="zh-CN"/>
              </w:rPr>
              <w:t>（1）技术参数要求：</w:t>
            </w:r>
          </w:p>
          <w:tbl>
            <w:tblPr>
              <w:tblStyle w:val="35"/>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61"/>
              <w:gridCol w:w="1423"/>
              <w:gridCol w:w="5212"/>
            </w:tblGrid>
            <w:tr w14:paraId="6BFF4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2561" w:type="dxa"/>
                  <w:gridSpan w:val="2"/>
                  <w:noWrap w:val="0"/>
                  <w:vAlign w:val="center"/>
                </w:tcPr>
                <w:p w14:paraId="3D1DB528">
                  <w:pPr>
                    <w:widowControl/>
                    <w:jc w:val="center"/>
                    <w:rPr>
                      <w:rFonts w:ascii="宋体" w:hAnsi="宋体" w:eastAsia="宋体" w:cs="宋体"/>
                      <w:color w:val="auto"/>
                      <w:szCs w:val="21"/>
                    </w:rPr>
                  </w:pPr>
                  <w:r>
                    <w:rPr>
                      <w:rFonts w:hint="eastAsia" w:ascii="宋体" w:hAnsi="宋体" w:eastAsia="宋体" w:cs="宋体"/>
                      <w:color w:val="auto"/>
                      <w:szCs w:val="21"/>
                    </w:rPr>
                    <w:t>功能名称</w:t>
                  </w:r>
                </w:p>
              </w:tc>
              <w:tc>
                <w:tcPr>
                  <w:tcW w:w="4972" w:type="dxa"/>
                  <w:noWrap w:val="0"/>
                  <w:vAlign w:val="center"/>
                </w:tcPr>
                <w:p w14:paraId="29CE97D6">
                  <w:pPr>
                    <w:widowControl/>
                    <w:ind w:firstLine="420"/>
                    <w:jc w:val="center"/>
                    <w:rPr>
                      <w:rFonts w:ascii="宋体" w:hAnsi="宋体" w:eastAsia="宋体" w:cs="宋体"/>
                      <w:color w:val="auto"/>
                      <w:szCs w:val="21"/>
                    </w:rPr>
                  </w:pPr>
                  <w:r>
                    <w:rPr>
                      <w:rFonts w:hint="eastAsia" w:ascii="宋体" w:hAnsi="宋体" w:eastAsia="宋体" w:cs="宋体"/>
                      <w:color w:val="auto"/>
                      <w:szCs w:val="21"/>
                    </w:rPr>
                    <w:t>功能描述</w:t>
                  </w:r>
                </w:p>
              </w:tc>
            </w:tr>
            <w:tr w14:paraId="4CB37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203" w:type="dxa"/>
                  <w:vMerge w:val="restart"/>
                  <w:noWrap w:val="0"/>
                  <w:vAlign w:val="center"/>
                </w:tcPr>
                <w:p w14:paraId="4D4C84F4">
                  <w:pPr>
                    <w:widowControl/>
                    <w:jc w:val="center"/>
                    <w:rPr>
                      <w:rFonts w:ascii="宋体" w:hAnsi="宋体" w:eastAsia="宋体" w:cs="宋体"/>
                      <w:color w:val="auto"/>
                      <w:szCs w:val="21"/>
                    </w:rPr>
                  </w:pPr>
                  <w:r>
                    <w:rPr>
                      <w:rFonts w:hint="eastAsia" w:ascii="宋体" w:hAnsi="宋体" w:eastAsia="宋体" w:cs="宋体"/>
                      <w:color w:val="auto"/>
                      <w:szCs w:val="21"/>
                    </w:rPr>
                    <w:t>类似（决明）新型电信网络诈骗预警服务</w:t>
                  </w:r>
                </w:p>
              </w:tc>
              <w:tc>
                <w:tcPr>
                  <w:tcW w:w="1358" w:type="dxa"/>
                  <w:noWrap w:val="0"/>
                  <w:vAlign w:val="center"/>
                </w:tcPr>
                <w:p w14:paraId="06C9A127">
                  <w:pPr>
                    <w:widowControl/>
                    <w:jc w:val="center"/>
                    <w:rPr>
                      <w:rFonts w:ascii="宋体" w:hAnsi="宋体" w:eastAsia="宋体" w:cs="宋体"/>
                      <w:color w:val="auto"/>
                      <w:szCs w:val="21"/>
                    </w:rPr>
                  </w:pPr>
                  <w:r>
                    <w:rPr>
                      <w:rFonts w:hint="eastAsia" w:ascii="宋体" w:hAnsi="宋体" w:eastAsia="宋体" w:cs="宋体"/>
                      <w:color w:val="auto"/>
                      <w:szCs w:val="21"/>
                    </w:rPr>
                    <w:t>电话端预警</w:t>
                  </w:r>
                </w:p>
              </w:tc>
              <w:tc>
                <w:tcPr>
                  <w:tcW w:w="4972" w:type="dxa"/>
                  <w:noWrap w:val="0"/>
                  <w:vAlign w:val="center"/>
                </w:tcPr>
                <w:p w14:paraId="5B1C6F57">
                  <w:pPr>
                    <w:widowControl/>
                    <w:rPr>
                      <w:rFonts w:ascii="宋体" w:hAnsi="宋体" w:eastAsia="宋体" w:cs="宋体"/>
                      <w:color w:val="auto"/>
                      <w:szCs w:val="21"/>
                    </w:rPr>
                  </w:pPr>
                  <w:r>
                    <w:rPr>
                      <w:rFonts w:hint="eastAsia" w:ascii="宋体" w:hAnsi="宋体" w:eastAsia="宋体" w:cs="宋体"/>
                      <w:color w:val="auto"/>
                      <w:szCs w:val="21"/>
                    </w:rPr>
                    <w:t>1、支持基于电话端行为与网络端行为相结合的综合预警，如：在接到电话后安装疑似诈骗的APP。同时，</w:t>
                  </w:r>
                  <w:r>
                    <w:rPr>
                      <w:rFonts w:hint="eastAsia" w:ascii="宋体" w:hAnsi="宋体" w:eastAsia="宋体" w:cs="宋体"/>
                      <w:bCs/>
                      <w:color w:val="auto"/>
                      <w:szCs w:val="21"/>
                    </w:rPr>
                    <w:t>支持辨别用户呼叫转移行为。</w:t>
                  </w:r>
                </w:p>
                <w:p w14:paraId="73195773">
                  <w:pPr>
                    <w:rPr>
                      <w:rFonts w:ascii="宋体" w:hAnsi="宋体" w:eastAsia="宋体" w:cs="宋体"/>
                      <w:bCs/>
                      <w:color w:val="auto"/>
                      <w:szCs w:val="21"/>
                    </w:rPr>
                  </w:pPr>
                  <w:r>
                    <w:rPr>
                      <w:rFonts w:hint="eastAsia" w:ascii="宋体" w:hAnsi="宋体" w:eastAsia="宋体" w:cs="宋体"/>
                      <w:bCs/>
                      <w:color w:val="auto"/>
                      <w:szCs w:val="21"/>
                    </w:rPr>
                    <w:t>2、预警模型需包括：冒充身份诈骗、虚假征信类诈骗、冒充电商物流客服类诈骗、网络贷款诈骗、虚假投资理财诈骗、刷单返利诈骗、裸聊敲诈。</w:t>
                  </w:r>
                </w:p>
                <w:p w14:paraId="3943D9CA">
                  <w:pPr>
                    <w:rPr>
                      <w:rFonts w:ascii="宋体" w:hAnsi="宋体" w:eastAsia="宋体" w:cs="宋体"/>
                      <w:bCs/>
                      <w:color w:val="auto"/>
                      <w:szCs w:val="21"/>
                    </w:rPr>
                  </w:pPr>
                  <w:r>
                    <w:rPr>
                      <w:rFonts w:hint="eastAsia" w:ascii="宋体" w:hAnsi="宋体" w:eastAsia="宋体" w:cs="宋体"/>
                      <w:bCs/>
                      <w:color w:val="auto"/>
                      <w:szCs w:val="21"/>
                    </w:rPr>
                    <w:t>3、风险度划分：系统应能根据不同诈骗预警模型关联不同的风险度，风险度应分为四个等级：紧急、高危、中危、低危。其中，针对电话端呼叫转移行为，应以紧急等级推送。</w:t>
                  </w:r>
                </w:p>
                <w:p w14:paraId="22EB6A97">
                  <w:pPr>
                    <w:rPr>
                      <w:rFonts w:ascii="宋体" w:hAnsi="宋体" w:eastAsia="宋体" w:cs="宋体"/>
                      <w:bCs/>
                      <w:color w:val="auto"/>
                      <w:szCs w:val="21"/>
                    </w:rPr>
                  </w:pPr>
                  <w:r>
                    <w:rPr>
                      <w:rFonts w:hint="eastAsia" w:ascii="宋体" w:hAnsi="宋体" w:eastAsia="宋体" w:cs="宋体"/>
                      <w:bCs/>
                      <w:color w:val="auto"/>
                      <w:szCs w:val="21"/>
                    </w:rPr>
                    <w:t>4、WZ信息展示：包括常驻地、工作地、日志产生地和号码归属地。</w:t>
                  </w:r>
                </w:p>
                <w:p w14:paraId="66CF181E">
                  <w:pPr>
                    <w:rPr>
                      <w:rFonts w:ascii="宋体" w:hAnsi="宋体" w:eastAsia="宋体" w:cs="宋体"/>
                      <w:color w:val="auto"/>
                      <w:szCs w:val="21"/>
                    </w:rPr>
                  </w:pPr>
                  <w:r>
                    <w:rPr>
                      <w:rFonts w:hint="eastAsia" w:ascii="宋体" w:hAnsi="宋体" w:eastAsia="宋体" w:cs="宋体"/>
                      <w:bCs/>
                      <w:color w:val="auto"/>
                      <w:szCs w:val="21"/>
                    </w:rPr>
                    <w:t>5、预警原因：系统应根据不同案件类型，触发的不同模型，以及风险度不同，提供直观的预警原因。</w:t>
                  </w:r>
                </w:p>
                <w:p w14:paraId="1159D24B">
                  <w:pPr>
                    <w:rPr>
                      <w:rFonts w:ascii="宋体" w:hAnsi="宋体" w:eastAsia="宋体" w:cs="宋体"/>
                      <w:color w:val="auto"/>
                      <w:szCs w:val="21"/>
                    </w:rPr>
                  </w:pPr>
                  <w:r>
                    <w:rPr>
                      <w:rFonts w:hint="eastAsia" w:ascii="宋体" w:hAnsi="宋体" w:eastAsia="宋体" w:cs="宋体"/>
                      <w:bCs/>
                      <w:color w:val="auto"/>
                      <w:szCs w:val="21"/>
                    </w:rPr>
                    <w:t>6、预警详情展示：支持一键查看预警详情，详情内容包括潜在受害人的手机号码、号码归属地、案件类型、通话时间、风险度、常驻地、工作地、网络日志产生地、预警原因、接听电话记录。</w:t>
                  </w:r>
                </w:p>
              </w:tc>
            </w:tr>
            <w:tr w14:paraId="73AC7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1203" w:type="dxa"/>
                  <w:vMerge w:val="continue"/>
                  <w:noWrap w:val="0"/>
                  <w:vAlign w:val="center"/>
                </w:tcPr>
                <w:p w14:paraId="41791EE5">
                  <w:pPr>
                    <w:widowControl/>
                    <w:jc w:val="center"/>
                    <w:rPr>
                      <w:rFonts w:ascii="宋体" w:hAnsi="宋体" w:eastAsia="宋体" w:cs="宋体"/>
                      <w:color w:val="auto"/>
                      <w:szCs w:val="21"/>
                    </w:rPr>
                  </w:pPr>
                </w:p>
              </w:tc>
              <w:tc>
                <w:tcPr>
                  <w:tcW w:w="1358" w:type="dxa"/>
                  <w:noWrap w:val="0"/>
                  <w:vAlign w:val="center"/>
                </w:tcPr>
                <w:p w14:paraId="4E708A73">
                  <w:pPr>
                    <w:widowControl/>
                    <w:jc w:val="center"/>
                    <w:rPr>
                      <w:rFonts w:ascii="宋体" w:hAnsi="宋体" w:eastAsia="宋体" w:cs="宋体"/>
                      <w:color w:val="auto"/>
                      <w:szCs w:val="21"/>
                    </w:rPr>
                  </w:pPr>
                  <w:r>
                    <w:rPr>
                      <w:rFonts w:hint="eastAsia" w:ascii="宋体" w:hAnsi="宋体" w:eastAsia="宋体" w:cs="宋体"/>
                      <w:color w:val="auto"/>
                      <w:szCs w:val="21"/>
                    </w:rPr>
                    <w:t>网络端（APP）预警</w:t>
                  </w:r>
                </w:p>
              </w:tc>
              <w:tc>
                <w:tcPr>
                  <w:tcW w:w="4972" w:type="dxa"/>
                  <w:noWrap w:val="0"/>
                  <w:vAlign w:val="center"/>
                </w:tcPr>
                <w:p w14:paraId="0265D2E5">
                  <w:pPr>
                    <w:widowControl/>
                    <w:rPr>
                      <w:rFonts w:ascii="宋体" w:hAnsi="宋体" w:eastAsia="宋体" w:cs="宋体"/>
                      <w:color w:val="auto"/>
                      <w:szCs w:val="21"/>
                    </w:rPr>
                  </w:pPr>
                  <w:r>
                    <w:rPr>
                      <w:rFonts w:hint="eastAsia" w:ascii="宋体" w:hAnsi="宋体" w:eastAsia="宋体" w:cs="宋体"/>
                      <w:color w:val="auto"/>
                      <w:szCs w:val="21"/>
                    </w:rPr>
                    <w:t>1、基于用户网络端行为的预警，如：安装了特定的***</w:t>
                  </w:r>
                  <w:r>
                    <w:rPr>
                      <w:rFonts w:hint="eastAsia" w:ascii="宋体" w:hAnsi="宋体" w:eastAsia="宋体" w:cs="宋体"/>
                      <w:bCs/>
                      <w:color w:val="auto"/>
                      <w:szCs w:val="21"/>
                    </w:rPr>
                    <w:t>。</w:t>
                  </w:r>
                </w:p>
                <w:p w14:paraId="56548913">
                  <w:pPr>
                    <w:rPr>
                      <w:rFonts w:ascii="宋体" w:hAnsi="宋体" w:eastAsia="宋体" w:cs="宋体"/>
                      <w:bCs/>
                      <w:color w:val="auto"/>
                      <w:szCs w:val="21"/>
                    </w:rPr>
                  </w:pPr>
                  <w:r>
                    <w:rPr>
                      <w:rFonts w:hint="eastAsia" w:ascii="宋体" w:hAnsi="宋体" w:eastAsia="宋体" w:cs="宋体"/>
                      <w:bCs/>
                      <w:color w:val="auto"/>
                      <w:szCs w:val="21"/>
                    </w:rPr>
                    <w:t>2、预警模型需包括：网络贷款诈骗、刷单返利诈骗、“杀猪盘”诈骗、冒充“公检法”诈骗、虚假投资理财诈骗、裸聊敲诈、仿冒会议类诈骗、盗刷远控木马、冒充身份诈骗。</w:t>
                  </w:r>
                </w:p>
                <w:p w14:paraId="411FADBF">
                  <w:pPr>
                    <w:rPr>
                      <w:rFonts w:ascii="宋体" w:hAnsi="宋体" w:eastAsia="宋体" w:cs="宋体"/>
                      <w:bCs/>
                      <w:color w:val="auto"/>
                      <w:szCs w:val="21"/>
                    </w:rPr>
                  </w:pPr>
                  <w:r>
                    <w:rPr>
                      <w:rFonts w:hint="eastAsia" w:ascii="宋体" w:hAnsi="宋体" w:eastAsia="宋体" w:cs="宋体"/>
                      <w:bCs/>
                      <w:color w:val="auto"/>
                      <w:szCs w:val="21"/>
                    </w:rPr>
                    <w:t>3、风险度划分：系统应能根据不同诈骗预警模型关联不同的风险度，风险度应分为四个等级：紧急、高危、中危、低危。其中，若用户安装的APP为既遂案件涉案的APP，应以紧急等级推送。</w:t>
                  </w:r>
                </w:p>
                <w:p w14:paraId="7D932C48">
                  <w:pPr>
                    <w:rPr>
                      <w:rFonts w:ascii="宋体" w:hAnsi="宋体" w:eastAsia="宋体" w:cs="宋体"/>
                      <w:bCs/>
                      <w:color w:val="auto"/>
                      <w:szCs w:val="21"/>
                    </w:rPr>
                  </w:pPr>
                  <w:r>
                    <w:rPr>
                      <w:rFonts w:hint="eastAsia" w:ascii="宋体" w:hAnsi="宋体" w:eastAsia="宋体" w:cs="宋体"/>
                      <w:bCs/>
                      <w:color w:val="auto"/>
                      <w:szCs w:val="21"/>
                    </w:rPr>
                    <w:t>4、WZ信息展示：包括常驻地、工作地、日志产生地和号码归属地。</w:t>
                  </w:r>
                </w:p>
                <w:p w14:paraId="49C0F07D">
                  <w:pPr>
                    <w:rPr>
                      <w:rFonts w:ascii="宋体" w:hAnsi="宋体" w:eastAsia="宋体" w:cs="宋体"/>
                      <w:color w:val="auto"/>
                      <w:szCs w:val="21"/>
                    </w:rPr>
                  </w:pPr>
                  <w:r>
                    <w:rPr>
                      <w:rFonts w:hint="eastAsia" w:ascii="宋体" w:hAnsi="宋体" w:eastAsia="宋体" w:cs="宋体"/>
                      <w:bCs/>
                      <w:color w:val="auto"/>
                      <w:szCs w:val="21"/>
                    </w:rPr>
                    <w:t>5、预警原因：系统应根据不同案件类型，触发的不同模型，以及风险度不同，提供直观的预警原因。</w:t>
                  </w:r>
                </w:p>
                <w:p w14:paraId="7733C2EB">
                  <w:pPr>
                    <w:widowControl/>
                    <w:rPr>
                      <w:rFonts w:ascii="宋体" w:hAnsi="宋体" w:eastAsia="宋体" w:cs="宋体"/>
                      <w:color w:val="auto"/>
                      <w:szCs w:val="21"/>
                    </w:rPr>
                  </w:pPr>
                  <w:r>
                    <w:rPr>
                      <w:rFonts w:hint="eastAsia" w:ascii="宋体" w:hAnsi="宋体" w:eastAsia="宋体" w:cs="宋体"/>
                      <w:bCs/>
                      <w:color w:val="auto"/>
                      <w:szCs w:val="21"/>
                    </w:rPr>
                    <w:t>6、预警详情展示：支持一键查看预警详情，详情内容包括潜在受害人的手机号码、号码归属地、案件类型、应用名称、安装时间、应用分类、风险度、常驻地、工作地、网络日志产生地、预警原因。</w:t>
                  </w:r>
                </w:p>
              </w:tc>
            </w:tr>
            <w:tr w14:paraId="08BE1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1203" w:type="dxa"/>
                  <w:vMerge w:val="continue"/>
                  <w:noWrap w:val="0"/>
                  <w:vAlign w:val="center"/>
                </w:tcPr>
                <w:p w14:paraId="53F7CCDE">
                  <w:pPr>
                    <w:widowControl/>
                    <w:ind w:firstLine="420"/>
                    <w:jc w:val="center"/>
                    <w:rPr>
                      <w:rFonts w:ascii="宋体" w:hAnsi="宋体" w:eastAsia="宋体" w:cs="宋体"/>
                      <w:color w:val="auto"/>
                      <w:szCs w:val="21"/>
                    </w:rPr>
                  </w:pPr>
                </w:p>
              </w:tc>
              <w:tc>
                <w:tcPr>
                  <w:tcW w:w="1358" w:type="dxa"/>
                  <w:noWrap w:val="0"/>
                  <w:vAlign w:val="center"/>
                </w:tcPr>
                <w:p w14:paraId="20F740D5">
                  <w:pPr>
                    <w:widowControl/>
                    <w:jc w:val="center"/>
                    <w:rPr>
                      <w:rFonts w:ascii="宋体" w:hAnsi="宋体" w:eastAsia="宋体" w:cs="宋体"/>
                      <w:color w:val="auto"/>
                      <w:szCs w:val="21"/>
                    </w:rPr>
                  </w:pPr>
                  <w:r>
                    <w:rPr>
                      <w:rFonts w:hint="eastAsia" w:ascii="宋体" w:hAnsi="宋体" w:eastAsia="宋体" w:cs="宋体"/>
                      <w:color w:val="auto"/>
                      <w:szCs w:val="21"/>
                    </w:rPr>
                    <w:t>涉诈态势情报</w:t>
                  </w:r>
                </w:p>
              </w:tc>
              <w:tc>
                <w:tcPr>
                  <w:tcW w:w="4972" w:type="dxa"/>
                  <w:noWrap w:val="0"/>
                  <w:vAlign w:val="center"/>
                </w:tcPr>
                <w:p w14:paraId="4FE69920">
                  <w:pPr>
                    <w:widowControl/>
                    <w:rPr>
                      <w:rFonts w:ascii="宋体" w:hAnsi="宋体" w:eastAsia="宋体" w:cs="宋体"/>
                      <w:color w:val="auto"/>
                      <w:szCs w:val="21"/>
                    </w:rPr>
                  </w:pPr>
                  <w:r>
                    <w:rPr>
                      <w:rFonts w:hint="eastAsia" w:ascii="宋体" w:hAnsi="宋体" w:eastAsia="宋体" w:cs="宋体"/>
                      <w:color w:val="auto"/>
                      <w:szCs w:val="21"/>
                    </w:rPr>
                    <w:t>系统应提供以下盐城市辖区内的情报线索：</w:t>
                  </w:r>
                </w:p>
                <w:p w14:paraId="4C6908BA">
                  <w:pPr>
                    <w:widowControl/>
                    <w:rPr>
                      <w:rFonts w:ascii="宋体" w:hAnsi="宋体" w:eastAsia="宋体" w:cs="宋体"/>
                      <w:color w:val="auto"/>
                      <w:szCs w:val="21"/>
                    </w:rPr>
                  </w:pPr>
                  <w:r>
                    <w:rPr>
                      <w:rFonts w:hint="eastAsia" w:ascii="宋体" w:hAnsi="宋体" w:eastAsia="宋体" w:cs="宋体"/>
                      <w:color w:val="auto"/>
                      <w:szCs w:val="21"/>
                    </w:rPr>
                    <w:t>1、支持提供号码（包括手机号码和固话）归属于盐城市相关运营商的高危违法恶意电话。</w:t>
                  </w:r>
                </w:p>
                <w:p w14:paraId="2BD4A898">
                  <w:pPr>
                    <w:widowControl/>
                    <w:rPr>
                      <w:rFonts w:ascii="宋体" w:hAnsi="宋体" w:eastAsia="宋体" w:cs="宋体"/>
                      <w:color w:val="auto"/>
                      <w:szCs w:val="21"/>
                    </w:rPr>
                  </w:pPr>
                  <w:r>
                    <w:rPr>
                      <w:rFonts w:hint="eastAsia" w:ascii="宋体" w:hAnsi="宋体" w:eastAsia="宋体" w:cs="宋体"/>
                      <w:color w:val="auto"/>
                      <w:szCs w:val="21"/>
                    </w:rPr>
                    <w:t>2、支持提供归属于盐城市相关运营商的发过高危违法恶意短信的号码。</w:t>
                  </w:r>
                </w:p>
                <w:p w14:paraId="28228FF3">
                  <w:pPr>
                    <w:widowControl/>
                    <w:rPr>
                      <w:rFonts w:ascii="宋体" w:hAnsi="宋体" w:eastAsia="宋体" w:cs="宋体"/>
                      <w:color w:val="auto"/>
                      <w:szCs w:val="21"/>
                    </w:rPr>
                  </w:pPr>
                  <w:r>
                    <w:rPr>
                      <w:rFonts w:hint="eastAsia" w:ascii="宋体" w:hAnsi="宋体" w:eastAsia="宋体" w:cs="宋体"/>
                      <w:color w:val="auto"/>
                      <w:szCs w:val="21"/>
                    </w:rPr>
                    <w:t>3、支持提供盐城市群众接听到的最多的违法恶意电话号码。</w:t>
                  </w:r>
                </w:p>
                <w:p w14:paraId="709FD5A5">
                  <w:pPr>
                    <w:widowControl/>
                    <w:rPr>
                      <w:rFonts w:ascii="宋体" w:hAnsi="宋体" w:eastAsia="宋体" w:cs="宋体"/>
                      <w:color w:val="auto"/>
                      <w:szCs w:val="21"/>
                    </w:rPr>
                  </w:pPr>
                  <w:r>
                    <w:rPr>
                      <w:rFonts w:hint="eastAsia" w:ascii="宋体" w:hAnsi="宋体" w:eastAsia="宋体" w:cs="宋体"/>
                      <w:color w:val="auto"/>
                      <w:szCs w:val="21"/>
                    </w:rPr>
                    <w:t>4、支持提供盐城市群众接收到的最多的违法恶意短信，包括主叫号码和短信正文。</w:t>
                  </w:r>
                </w:p>
              </w:tc>
            </w:tr>
          </w:tbl>
          <w:p w14:paraId="3DBD3444">
            <w:pPr>
              <w:pStyle w:val="201"/>
              <w:rPr>
                <w:rFonts w:hint="default" w:ascii="宋体" w:hAnsi="宋体" w:eastAsia="宋体" w:cs="宋体"/>
                <w:color w:val="auto"/>
                <w:sz w:val="21"/>
                <w:szCs w:val="21"/>
              </w:rPr>
            </w:pPr>
            <w:r>
              <w:rPr>
                <w:rFonts w:ascii="宋体" w:hAnsi="宋体" w:eastAsia="宋体" w:cs="宋体"/>
                <w:b/>
                <w:color w:val="auto"/>
                <w:sz w:val="21"/>
                <w:szCs w:val="21"/>
                <w:lang w:eastAsia="zh-CN"/>
              </w:rPr>
              <w:t>（2）</w:t>
            </w:r>
            <w:r>
              <w:rPr>
                <w:rFonts w:ascii="宋体" w:hAnsi="宋体" w:eastAsia="宋体" w:cs="宋体"/>
                <w:b/>
                <w:color w:val="auto"/>
                <w:sz w:val="21"/>
                <w:szCs w:val="21"/>
              </w:rPr>
              <w:t>平台</w:t>
            </w:r>
            <w:r>
              <w:rPr>
                <w:rFonts w:ascii="宋体" w:hAnsi="宋体" w:eastAsia="宋体" w:cs="宋体"/>
                <w:b/>
                <w:color w:val="auto"/>
                <w:sz w:val="21"/>
                <w:szCs w:val="21"/>
                <w:lang w:eastAsia="zh-CN"/>
              </w:rPr>
              <w:t>性能</w:t>
            </w:r>
            <w:r>
              <w:rPr>
                <w:rFonts w:ascii="宋体" w:hAnsi="宋体" w:eastAsia="宋体" w:cs="宋体"/>
                <w:b/>
                <w:color w:val="auto"/>
                <w:sz w:val="21"/>
                <w:szCs w:val="21"/>
              </w:rPr>
              <w:t>要求：</w:t>
            </w:r>
          </w:p>
          <w:p w14:paraId="5670D7DE">
            <w:pPr>
              <w:pStyle w:val="201"/>
              <w:ind w:firstLine="480"/>
              <w:rPr>
                <w:rFonts w:hint="default" w:ascii="宋体" w:hAnsi="宋体" w:eastAsia="宋体" w:cs="宋体"/>
                <w:color w:val="auto"/>
                <w:sz w:val="21"/>
                <w:szCs w:val="21"/>
              </w:rPr>
            </w:pPr>
            <w:r>
              <w:rPr>
                <w:rFonts w:ascii="宋体" w:hAnsi="宋体" w:eastAsia="宋体" w:cs="宋体"/>
                <w:color w:val="auto"/>
                <w:sz w:val="21"/>
                <w:szCs w:val="21"/>
                <w:lang w:eastAsia="zh-CN"/>
              </w:rPr>
              <w:t xml:space="preserve">① </w:t>
            </w:r>
            <w:r>
              <w:rPr>
                <w:rFonts w:ascii="宋体" w:hAnsi="宋体" w:eastAsia="宋体" w:cs="宋体"/>
                <w:color w:val="auto"/>
                <w:sz w:val="21"/>
                <w:szCs w:val="21"/>
              </w:rPr>
              <w:t>系统登录响应时间≤</w:t>
            </w:r>
            <w:r>
              <w:rPr>
                <w:rFonts w:ascii="宋体" w:hAnsi="宋体" w:eastAsia="宋体" w:cs="宋体"/>
                <w:color w:val="auto"/>
                <w:sz w:val="21"/>
                <w:szCs w:val="21"/>
                <w:lang w:eastAsia="zh-CN"/>
              </w:rPr>
              <w:t>3</w:t>
            </w:r>
            <w:r>
              <w:rPr>
                <w:rFonts w:ascii="宋体" w:hAnsi="宋体" w:eastAsia="宋体" w:cs="宋体"/>
                <w:color w:val="auto"/>
                <w:sz w:val="21"/>
                <w:szCs w:val="21"/>
              </w:rPr>
              <w:t>秒；</w:t>
            </w:r>
          </w:p>
          <w:p w14:paraId="50565FED">
            <w:pPr>
              <w:pStyle w:val="201"/>
              <w:ind w:firstLine="480"/>
              <w:rPr>
                <w:rFonts w:hint="default" w:ascii="宋体" w:hAnsi="宋体" w:eastAsia="宋体" w:cs="宋体"/>
                <w:color w:val="auto"/>
                <w:sz w:val="21"/>
                <w:szCs w:val="21"/>
                <w:lang w:eastAsia="zh-CN"/>
              </w:rPr>
            </w:pPr>
            <w:r>
              <w:rPr>
                <w:rFonts w:ascii="宋体" w:hAnsi="宋体" w:eastAsia="宋体" w:cs="宋体"/>
                <w:color w:val="auto"/>
                <w:sz w:val="21"/>
                <w:szCs w:val="21"/>
                <w:lang w:eastAsia="zh-CN"/>
              </w:rPr>
              <w:t>②</w:t>
            </w:r>
            <w:r>
              <w:rPr>
                <w:rFonts w:ascii="宋体" w:hAnsi="宋体" w:eastAsia="宋体" w:cs="宋体"/>
                <w:color w:val="auto"/>
                <w:sz w:val="21"/>
                <w:szCs w:val="21"/>
              </w:rPr>
              <w:t>系统无故障运行率高于99.9%，稳定可靠性，平均恢复时间≤2小时</w:t>
            </w:r>
            <w:r>
              <w:rPr>
                <w:rFonts w:ascii="宋体" w:hAnsi="宋体" w:eastAsia="宋体" w:cs="宋体"/>
                <w:color w:val="auto"/>
                <w:sz w:val="21"/>
                <w:szCs w:val="21"/>
                <w:lang w:eastAsia="zh-CN"/>
              </w:rPr>
              <w:t>；</w:t>
            </w:r>
          </w:p>
          <w:p w14:paraId="2FF524F4">
            <w:pPr>
              <w:pStyle w:val="201"/>
              <w:ind w:firstLine="480"/>
              <w:rPr>
                <w:rFonts w:hint="default" w:ascii="宋体" w:hAnsi="宋体" w:eastAsia="宋体" w:cs="宋体"/>
                <w:color w:val="auto"/>
                <w:sz w:val="21"/>
                <w:szCs w:val="21"/>
                <w:lang w:eastAsia="zh-CN"/>
              </w:rPr>
            </w:pPr>
            <w:r>
              <w:rPr>
                <w:rFonts w:ascii="宋体" w:hAnsi="宋体" w:eastAsia="宋体" w:cs="宋体"/>
                <w:color w:val="auto"/>
                <w:sz w:val="21"/>
                <w:szCs w:val="21"/>
                <w:lang w:eastAsia="zh-CN"/>
              </w:rPr>
              <w:t>③ 系统</w:t>
            </w:r>
            <w:r>
              <w:rPr>
                <w:rFonts w:ascii="宋体" w:hAnsi="宋体" w:eastAsia="宋体" w:cs="宋体"/>
                <w:color w:val="auto"/>
                <w:sz w:val="21"/>
                <w:szCs w:val="21"/>
              </w:rPr>
              <w:t>应支持提供的预警数据能分别显示</w:t>
            </w:r>
            <w:r>
              <w:rPr>
                <w:rFonts w:ascii="宋体" w:hAnsi="宋体" w:eastAsia="宋体" w:cs="宋体"/>
                <w:color w:val="auto"/>
                <w:sz w:val="21"/>
                <w:szCs w:val="21"/>
                <w:lang w:eastAsia="zh-CN"/>
              </w:rPr>
              <w:t>***</w:t>
            </w:r>
            <w:r>
              <w:rPr>
                <w:rFonts w:ascii="宋体" w:hAnsi="宋体" w:eastAsia="宋体" w:cs="宋体"/>
                <w:color w:val="auto"/>
                <w:sz w:val="21"/>
                <w:szCs w:val="21"/>
              </w:rPr>
              <w:t>在手机安装时间和系统推送预警时间</w:t>
            </w:r>
            <w:r>
              <w:rPr>
                <w:rFonts w:ascii="宋体" w:hAnsi="宋体" w:eastAsia="宋体" w:cs="宋体"/>
                <w:color w:val="auto"/>
                <w:sz w:val="21"/>
                <w:szCs w:val="21"/>
                <w:lang w:eastAsia="zh-CN"/>
              </w:rPr>
              <w:t>，保证预警数据的时效性。</w:t>
            </w:r>
          </w:p>
          <w:p w14:paraId="142DED66">
            <w:pPr>
              <w:pStyle w:val="201"/>
              <w:rPr>
                <w:rFonts w:hint="default" w:ascii="宋体" w:hAnsi="宋体" w:eastAsia="宋体" w:cs="宋体"/>
                <w:b/>
                <w:color w:val="auto"/>
                <w:sz w:val="21"/>
                <w:szCs w:val="21"/>
                <w:lang w:eastAsia="zh-CN"/>
              </w:rPr>
            </w:pPr>
            <w:r>
              <w:rPr>
                <w:rFonts w:ascii="宋体" w:hAnsi="宋体" w:eastAsia="宋体" w:cs="宋体"/>
                <w:b/>
                <w:color w:val="auto"/>
                <w:sz w:val="21"/>
                <w:szCs w:val="21"/>
                <w:lang w:eastAsia="zh-CN"/>
              </w:rPr>
              <w:t>（3）其他要求：</w:t>
            </w:r>
          </w:p>
          <w:p w14:paraId="53B044CE">
            <w:pPr>
              <w:pStyle w:val="201"/>
              <w:ind w:firstLine="420"/>
              <w:rPr>
                <w:rFonts w:hint="default" w:ascii="宋体" w:hAnsi="宋体" w:eastAsia="宋体" w:cs="宋体"/>
                <w:color w:val="auto"/>
                <w:sz w:val="21"/>
                <w:szCs w:val="21"/>
                <w:lang w:eastAsia="zh-CN"/>
              </w:rPr>
            </w:pPr>
            <w:r>
              <w:rPr>
                <w:rFonts w:ascii="宋体" w:hAnsi="宋体" w:eastAsia="宋体" w:cs="宋体"/>
                <w:color w:val="auto"/>
                <w:sz w:val="21"/>
                <w:szCs w:val="21"/>
                <w:lang w:eastAsia="zh-CN"/>
              </w:rPr>
              <w:t>为保证预警数据的合法来源，投标人收集预警数据的产品（系统或设备），应有合规来源，需是自身拥有软著，或得到合法授权应用的产品（系统或设备）。</w:t>
            </w:r>
          </w:p>
        </w:tc>
      </w:tr>
      <w:tr w14:paraId="3A3FB2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vMerge w:val="continue"/>
            <w:noWrap w:val="0"/>
            <w:vAlign w:val="center"/>
          </w:tcPr>
          <w:p w14:paraId="0096B7BA">
            <w:pPr>
              <w:pStyle w:val="201"/>
              <w:spacing w:line="360" w:lineRule="auto"/>
              <w:jc w:val="center"/>
              <w:rPr>
                <w:rFonts w:hint="default" w:ascii="宋体" w:hAnsi="宋体" w:eastAsia="宋体" w:cs="宋体"/>
                <w:color w:val="auto"/>
                <w:sz w:val="21"/>
                <w:szCs w:val="21"/>
                <w:lang w:eastAsia="zh-CN"/>
              </w:rPr>
            </w:pPr>
          </w:p>
        </w:tc>
        <w:tc>
          <w:tcPr>
            <w:tcW w:w="7765" w:type="dxa"/>
            <w:noWrap w:val="0"/>
          </w:tcPr>
          <w:p w14:paraId="41892E3B">
            <w:pPr>
              <w:pStyle w:val="201"/>
              <w:rPr>
                <w:rFonts w:hint="default" w:ascii="宋体" w:hAnsi="宋体" w:eastAsia="宋体" w:cs="宋体"/>
                <w:color w:val="auto"/>
                <w:sz w:val="21"/>
                <w:szCs w:val="21"/>
              </w:rPr>
            </w:pPr>
            <w:r>
              <w:rPr>
                <w:rFonts w:ascii="宋体" w:hAnsi="宋体" w:eastAsia="宋体" w:cs="宋体"/>
                <w:b/>
                <w:bCs/>
                <w:color w:val="auto"/>
                <w:sz w:val="21"/>
                <w:szCs w:val="21"/>
                <w:lang w:eastAsia="zh-CN"/>
              </w:rPr>
              <w:t>投标</w:t>
            </w:r>
            <w:r>
              <w:rPr>
                <w:rFonts w:ascii="宋体" w:hAnsi="宋体" w:eastAsia="宋体" w:cs="宋体"/>
                <w:b/>
                <w:bCs/>
                <w:color w:val="auto"/>
                <w:sz w:val="21"/>
                <w:szCs w:val="21"/>
              </w:rPr>
              <w:t>要求</w:t>
            </w:r>
            <w:r>
              <w:rPr>
                <w:rFonts w:ascii="宋体" w:hAnsi="宋体" w:eastAsia="宋体" w:cs="宋体"/>
                <w:color w:val="auto"/>
                <w:sz w:val="21"/>
                <w:szCs w:val="21"/>
              </w:rPr>
              <w:t>：</w:t>
            </w:r>
          </w:p>
          <w:p w14:paraId="365ACE41">
            <w:pPr>
              <w:pStyle w:val="2"/>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提供2个账号。</w:t>
            </w:r>
          </w:p>
        </w:tc>
      </w:tr>
    </w:tbl>
    <w:p w14:paraId="7A711F2C">
      <w:pPr>
        <w:pStyle w:val="2"/>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备注：每日自动推送预警数据给采购人账号。</w:t>
      </w:r>
    </w:p>
    <w:p w14:paraId="564167CB">
      <w:pPr>
        <w:pStyle w:val="2"/>
        <w:rPr>
          <w:rFonts w:ascii="宋体" w:hAnsi="宋体" w:eastAsia="宋体" w:cs="宋体"/>
          <w:b/>
          <w:color w:val="auto"/>
          <w:sz w:val="21"/>
          <w:szCs w:val="21"/>
          <w:lang w:eastAsia="zh-CN"/>
        </w:rPr>
      </w:pPr>
    </w:p>
    <w:p w14:paraId="14E638BC">
      <w:pPr>
        <w:pStyle w:val="2"/>
        <w:rPr>
          <w:rFonts w:ascii="宋体" w:hAnsi="宋体" w:eastAsia="宋体" w:cs="宋体"/>
          <w:b/>
          <w:color w:val="auto"/>
          <w:sz w:val="21"/>
          <w:szCs w:val="21"/>
          <w:lang w:eastAsia="zh-CN"/>
        </w:rPr>
      </w:pPr>
    </w:p>
    <w:p w14:paraId="4F9577E2">
      <w:pPr>
        <w:pStyle w:val="2"/>
        <w:jc w:val="center"/>
        <w:rPr>
          <w:rFonts w:ascii="宋体" w:hAnsi="宋体" w:eastAsia="宋体" w:cs="宋体"/>
          <w:b/>
          <w:color w:val="auto"/>
          <w:sz w:val="21"/>
          <w:szCs w:val="21"/>
          <w:lang w:eastAsia="zh-CN"/>
        </w:rPr>
      </w:pPr>
    </w:p>
    <w:p w14:paraId="147D1379">
      <w:pPr>
        <w:pStyle w:val="2"/>
        <w:jc w:val="center"/>
        <w:rPr>
          <w:rFonts w:ascii="宋体" w:hAnsi="宋体" w:eastAsia="宋体" w:cs="宋体"/>
          <w:b/>
          <w:color w:val="auto"/>
          <w:sz w:val="21"/>
          <w:szCs w:val="21"/>
          <w:lang w:eastAsia="zh-CN"/>
        </w:rPr>
      </w:pPr>
    </w:p>
    <w:tbl>
      <w:tblPr>
        <w:tblStyle w:val="35"/>
        <w:tblW w:w="8914" w:type="dxa"/>
        <w:tblInd w:w="0" w:type="dxa"/>
        <w:tblLayout w:type="fixed"/>
        <w:tblCellMar>
          <w:top w:w="0" w:type="dxa"/>
          <w:left w:w="108" w:type="dxa"/>
          <w:bottom w:w="0" w:type="dxa"/>
          <w:right w:w="108" w:type="dxa"/>
        </w:tblCellMar>
      </w:tblPr>
      <w:tblGrid>
        <w:gridCol w:w="705"/>
        <w:gridCol w:w="1242"/>
        <w:gridCol w:w="6112"/>
        <w:gridCol w:w="855"/>
      </w:tblGrid>
      <w:tr w14:paraId="4DB68FD8">
        <w:tblPrEx>
          <w:tblCellMar>
            <w:top w:w="0" w:type="dxa"/>
            <w:left w:w="108" w:type="dxa"/>
            <w:bottom w:w="0" w:type="dxa"/>
            <w:right w:w="108" w:type="dxa"/>
          </w:tblCellMar>
        </w:tblPrEx>
        <w:trPr>
          <w:trHeight w:val="48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3C473A7">
            <w:pPr>
              <w:widowControl/>
              <w:jc w:val="left"/>
              <w:rPr>
                <w:rFonts w:ascii="宋体" w:hAnsi="宋体" w:eastAsia="宋体" w:cs="宋体"/>
                <w:color w:val="auto"/>
                <w:szCs w:val="21"/>
              </w:rPr>
            </w:pPr>
            <w:r>
              <w:rPr>
                <w:rFonts w:hint="eastAsia" w:ascii="宋体" w:hAnsi="宋体" w:eastAsia="宋体" w:cs="宋体"/>
                <w:color w:val="auto"/>
                <w:szCs w:val="21"/>
              </w:rPr>
              <w:t>序号</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7E8A5B53">
            <w:pPr>
              <w:widowControl/>
              <w:jc w:val="center"/>
              <w:rPr>
                <w:rFonts w:ascii="宋体" w:hAnsi="宋体" w:eastAsia="宋体" w:cs="宋体"/>
                <w:color w:val="auto"/>
                <w:szCs w:val="21"/>
              </w:rPr>
            </w:pPr>
            <w:r>
              <w:rPr>
                <w:rFonts w:hint="eastAsia" w:ascii="宋体" w:hAnsi="宋体" w:eastAsia="宋体" w:cs="宋体"/>
                <w:color w:val="auto"/>
                <w:szCs w:val="21"/>
              </w:rPr>
              <w:t>名称</w:t>
            </w:r>
          </w:p>
        </w:tc>
        <w:tc>
          <w:tcPr>
            <w:tcW w:w="6112" w:type="dxa"/>
            <w:tcBorders>
              <w:top w:val="single" w:color="000000" w:sz="4" w:space="0"/>
              <w:left w:val="single" w:color="000000" w:sz="4" w:space="0"/>
              <w:bottom w:val="single" w:color="000000" w:sz="4" w:space="0"/>
              <w:right w:val="single" w:color="000000" w:sz="4" w:space="0"/>
            </w:tcBorders>
            <w:noWrap/>
            <w:vAlign w:val="center"/>
          </w:tcPr>
          <w:p w14:paraId="7B9AB91C">
            <w:pPr>
              <w:widowControl/>
              <w:jc w:val="center"/>
              <w:rPr>
                <w:rFonts w:ascii="宋体" w:hAnsi="宋体" w:eastAsia="宋体" w:cs="宋体"/>
                <w:color w:val="auto"/>
                <w:szCs w:val="21"/>
              </w:rPr>
            </w:pPr>
            <w:r>
              <w:rPr>
                <w:rFonts w:hint="eastAsia" w:ascii="宋体" w:hAnsi="宋体" w:eastAsia="宋体" w:cs="宋体"/>
                <w:color w:val="auto"/>
                <w:szCs w:val="21"/>
              </w:rPr>
              <w:t>要求</w:t>
            </w:r>
          </w:p>
        </w:tc>
        <w:tc>
          <w:tcPr>
            <w:tcW w:w="855" w:type="dxa"/>
            <w:tcBorders>
              <w:top w:val="single" w:color="000000" w:sz="4" w:space="0"/>
              <w:left w:val="single" w:color="000000" w:sz="4" w:space="0"/>
              <w:bottom w:val="single" w:color="000000" w:sz="4" w:space="0"/>
              <w:right w:val="single" w:color="000000" w:sz="4" w:space="0"/>
            </w:tcBorders>
            <w:noWrap/>
            <w:vAlign w:val="center"/>
          </w:tcPr>
          <w:p w14:paraId="1969B447">
            <w:pPr>
              <w:widowControl/>
              <w:jc w:val="center"/>
              <w:rPr>
                <w:rFonts w:ascii="宋体" w:hAnsi="宋体" w:eastAsia="宋体" w:cs="宋体"/>
                <w:color w:val="auto"/>
                <w:szCs w:val="21"/>
              </w:rPr>
            </w:pPr>
            <w:r>
              <w:rPr>
                <w:rFonts w:hint="eastAsia" w:ascii="宋体" w:hAnsi="宋体" w:eastAsia="宋体" w:cs="宋体"/>
                <w:color w:val="auto"/>
                <w:szCs w:val="21"/>
              </w:rPr>
              <w:t>期限</w:t>
            </w:r>
          </w:p>
        </w:tc>
      </w:tr>
      <w:tr w14:paraId="16D68227">
        <w:tblPrEx>
          <w:tblCellMar>
            <w:top w:w="0" w:type="dxa"/>
            <w:left w:w="108" w:type="dxa"/>
            <w:bottom w:w="0" w:type="dxa"/>
            <w:right w:w="108" w:type="dxa"/>
          </w:tblCellMar>
        </w:tblPrEx>
        <w:trPr>
          <w:trHeight w:val="1334"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9E96D76">
            <w:pPr>
              <w:widowControl/>
              <w:jc w:val="center"/>
              <w:rPr>
                <w:rFonts w:ascii="宋体" w:hAnsi="宋体" w:eastAsia="宋体" w:cs="宋体"/>
                <w:color w:val="auto"/>
                <w:szCs w:val="21"/>
              </w:rPr>
            </w:pPr>
            <w:r>
              <w:rPr>
                <w:rFonts w:hint="eastAsia" w:ascii="宋体" w:hAnsi="宋体" w:eastAsia="宋体" w:cs="宋体"/>
                <w:color w:val="auto"/>
                <w:szCs w:val="21"/>
              </w:rPr>
              <w:t>2</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33EA0958">
            <w:pPr>
              <w:widowControl/>
              <w:jc w:val="center"/>
              <w:rPr>
                <w:rFonts w:ascii="宋体" w:hAnsi="宋体" w:eastAsia="宋体" w:cs="宋体"/>
                <w:color w:val="auto"/>
                <w:szCs w:val="21"/>
              </w:rPr>
            </w:pPr>
            <w:r>
              <w:rPr>
                <w:rFonts w:hint="eastAsia" w:ascii="宋体" w:hAnsi="宋体" w:eastAsia="宋体" w:cs="宋体"/>
                <w:color w:val="auto"/>
                <w:szCs w:val="21"/>
              </w:rPr>
              <w:t>类似风控云察智能研判系统</w:t>
            </w:r>
          </w:p>
        </w:tc>
        <w:tc>
          <w:tcPr>
            <w:tcW w:w="6112" w:type="dxa"/>
            <w:tcBorders>
              <w:top w:val="single" w:color="000000" w:sz="4" w:space="0"/>
              <w:left w:val="single" w:color="000000" w:sz="4" w:space="0"/>
              <w:bottom w:val="single" w:color="000000" w:sz="4" w:space="0"/>
              <w:right w:val="single" w:color="000000" w:sz="4" w:space="0"/>
            </w:tcBorders>
            <w:noWrap/>
          </w:tcPr>
          <w:p w14:paraId="495A6169">
            <w:pPr>
              <w:widowControl/>
              <w:jc w:val="left"/>
              <w:rPr>
                <w:rFonts w:ascii="宋体" w:hAnsi="宋体" w:eastAsia="宋体" w:cs="宋体"/>
                <w:color w:val="auto"/>
                <w:szCs w:val="21"/>
              </w:rPr>
            </w:pPr>
            <w:r>
              <w:rPr>
                <w:rFonts w:hint="eastAsia" w:ascii="宋体" w:hAnsi="宋体" w:eastAsia="宋体" w:cs="宋体"/>
                <w:color w:val="auto"/>
                <w:szCs w:val="21"/>
              </w:rPr>
              <w:t>1.系统包含开通基础研判共享资源账号2个；</w:t>
            </w:r>
          </w:p>
          <w:p w14:paraId="6F4A5316">
            <w:pPr>
              <w:widowControl/>
              <w:jc w:val="left"/>
              <w:rPr>
                <w:rFonts w:ascii="宋体" w:hAnsi="宋体" w:eastAsia="宋体" w:cs="宋体"/>
                <w:color w:val="auto"/>
                <w:szCs w:val="21"/>
              </w:rPr>
            </w:pPr>
            <w:r>
              <w:rPr>
                <w:rFonts w:hint="eastAsia" w:ascii="宋体" w:hAnsi="宋体" w:eastAsia="宋体" w:cs="宋体"/>
                <w:color w:val="auto"/>
                <w:szCs w:val="21"/>
              </w:rPr>
              <w:t>2.智能研判：支持2000次通过SFZ、SJHM、YHKH、IP地址、四码、邮箱等信息进行目标线索获取；</w:t>
            </w:r>
          </w:p>
          <w:p w14:paraId="5C03F18E">
            <w:pPr>
              <w:widowControl/>
              <w:jc w:val="left"/>
              <w:rPr>
                <w:rFonts w:ascii="宋体" w:hAnsi="宋体" w:eastAsia="宋体" w:cs="宋体"/>
                <w:color w:val="auto"/>
                <w:szCs w:val="21"/>
              </w:rPr>
            </w:pPr>
            <w:r>
              <w:rPr>
                <w:rFonts w:hint="eastAsia" w:ascii="宋体" w:hAnsi="宋体" w:eastAsia="宋体" w:cs="宋体"/>
                <w:color w:val="auto"/>
                <w:szCs w:val="21"/>
              </w:rPr>
              <w:t>3.图谱分析</w:t>
            </w:r>
          </w:p>
          <w:p w14:paraId="1EF61D65">
            <w:pPr>
              <w:widowControl/>
              <w:jc w:val="left"/>
              <w:rPr>
                <w:rFonts w:ascii="宋体" w:hAnsi="宋体" w:eastAsia="宋体" w:cs="宋体"/>
                <w:color w:val="auto"/>
                <w:szCs w:val="21"/>
              </w:rPr>
            </w:pPr>
            <w:r>
              <w:rPr>
                <w:rFonts w:hint="eastAsia" w:ascii="宋体" w:hAnsi="宋体" w:eastAsia="宋体" w:cs="宋体"/>
                <w:color w:val="auto"/>
                <w:szCs w:val="21"/>
              </w:rPr>
              <w:t>4.产出线索包含智能研判核心线索，支持以列表方示展示全部线索，可进行时序分析及事件关联次数筛选；</w:t>
            </w:r>
          </w:p>
          <w:p w14:paraId="707E70E2">
            <w:pPr>
              <w:widowControl/>
              <w:jc w:val="left"/>
              <w:rPr>
                <w:rFonts w:ascii="宋体" w:hAnsi="宋体" w:eastAsia="宋体" w:cs="宋体"/>
                <w:color w:val="auto"/>
                <w:szCs w:val="21"/>
              </w:rPr>
            </w:pPr>
            <w:r>
              <w:rPr>
                <w:rFonts w:hint="eastAsia" w:ascii="宋体" w:hAnsi="宋体" w:eastAsia="宋体" w:cs="宋体"/>
                <w:color w:val="auto"/>
                <w:szCs w:val="21"/>
              </w:rPr>
              <w:t>5.关联分析：具有最早关联时间及最晚关联时间及风控事年关联次数能力；</w:t>
            </w:r>
          </w:p>
          <w:p w14:paraId="6EE63B71">
            <w:pPr>
              <w:widowControl/>
              <w:jc w:val="left"/>
              <w:rPr>
                <w:rFonts w:ascii="宋体" w:hAnsi="宋体" w:eastAsia="宋体" w:cs="宋体"/>
                <w:color w:val="auto"/>
                <w:szCs w:val="21"/>
              </w:rPr>
            </w:pPr>
            <w:r>
              <w:rPr>
                <w:rFonts w:hint="eastAsia" w:ascii="宋体" w:hAnsi="宋体" w:eastAsia="宋体" w:cs="宋体"/>
                <w:color w:val="auto"/>
                <w:szCs w:val="21"/>
              </w:rPr>
              <w:t>6.行为分析：具有目标对象JR事件分析功能；</w:t>
            </w:r>
          </w:p>
          <w:p w14:paraId="4CDE3EB4">
            <w:pPr>
              <w:widowControl/>
              <w:jc w:val="left"/>
              <w:rPr>
                <w:rFonts w:ascii="宋体" w:hAnsi="宋体" w:eastAsia="宋体" w:cs="宋体"/>
                <w:color w:val="auto"/>
                <w:szCs w:val="21"/>
              </w:rPr>
            </w:pPr>
            <w:r>
              <w:rPr>
                <w:rFonts w:hint="eastAsia" w:ascii="宋体" w:hAnsi="宋体" w:eastAsia="宋体" w:cs="宋体"/>
                <w:color w:val="auto"/>
                <w:szCs w:val="21"/>
              </w:rPr>
              <w:t>7.线索拓展：支持在线索图形展示界面对目标对象进行线索一键拓展功能，拓展线索支持一键导入分析；</w:t>
            </w:r>
          </w:p>
          <w:p w14:paraId="170913D2">
            <w:pPr>
              <w:widowControl/>
              <w:jc w:val="left"/>
              <w:rPr>
                <w:rFonts w:ascii="宋体" w:hAnsi="宋体" w:eastAsia="宋体" w:cs="宋体"/>
                <w:color w:val="auto"/>
                <w:szCs w:val="21"/>
              </w:rPr>
            </w:pPr>
            <w:r>
              <w:rPr>
                <w:rFonts w:hint="eastAsia" w:ascii="宋体" w:hAnsi="宋体" w:eastAsia="宋体" w:cs="宋体"/>
                <w:color w:val="auto"/>
                <w:szCs w:val="21"/>
              </w:rPr>
              <w:t>8.JR档案：；</w:t>
            </w:r>
          </w:p>
          <w:p w14:paraId="75FF3BD6">
            <w:pPr>
              <w:widowControl/>
              <w:jc w:val="left"/>
              <w:rPr>
                <w:rFonts w:ascii="宋体" w:hAnsi="宋体" w:eastAsia="宋体" w:cs="宋体"/>
                <w:color w:val="auto"/>
                <w:szCs w:val="21"/>
              </w:rPr>
            </w:pPr>
            <w:r>
              <w:rPr>
                <w:rFonts w:hint="eastAsia" w:ascii="宋体" w:hAnsi="宋体" w:eastAsia="宋体" w:cs="宋体"/>
                <w:color w:val="auto"/>
                <w:szCs w:val="21"/>
              </w:rPr>
              <w:t>9.我的关注：具有对研判线索节点一键添加关注功能，支持在研判过程中快速导入关注目标；</w:t>
            </w:r>
          </w:p>
          <w:p w14:paraId="1673E0F9">
            <w:pPr>
              <w:widowControl/>
              <w:jc w:val="left"/>
              <w:rPr>
                <w:rFonts w:ascii="宋体" w:hAnsi="宋体" w:eastAsia="宋体" w:cs="宋体"/>
                <w:color w:val="auto"/>
                <w:szCs w:val="21"/>
              </w:rPr>
            </w:pPr>
            <w:r>
              <w:rPr>
                <w:rFonts w:hint="eastAsia" w:ascii="宋体" w:hAnsi="宋体" w:eastAsia="宋体" w:cs="宋体"/>
                <w:color w:val="auto"/>
                <w:szCs w:val="21"/>
              </w:rPr>
              <w:t>10.布控管理：支持对研判目标进行布控，布控目标有线索产出时服务系统自动推送。</w:t>
            </w:r>
          </w:p>
          <w:p w14:paraId="177D0A3F">
            <w:pPr>
              <w:widowControl/>
              <w:jc w:val="left"/>
              <w:rPr>
                <w:rFonts w:ascii="宋体" w:hAnsi="宋体" w:eastAsia="宋体" w:cs="宋体"/>
                <w:b/>
                <w:bCs/>
                <w:color w:val="auto"/>
                <w:szCs w:val="21"/>
              </w:rPr>
            </w:pPr>
            <w:r>
              <w:rPr>
                <w:rFonts w:hint="eastAsia" w:ascii="宋体" w:hAnsi="宋体" w:eastAsia="宋体" w:cs="宋体"/>
                <w:color w:val="auto"/>
                <w:szCs w:val="21"/>
              </w:rPr>
              <w:t>11.案件管理：支持创新增、变更、结案、查看管理在侦案件。</w:t>
            </w:r>
          </w:p>
        </w:tc>
        <w:tc>
          <w:tcPr>
            <w:tcW w:w="855" w:type="dxa"/>
            <w:tcBorders>
              <w:top w:val="single" w:color="000000" w:sz="4" w:space="0"/>
              <w:left w:val="single" w:color="000000" w:sz="4" w:space="0"/>
              <w:bottom w:val="single" w:color="000000" w:sz="4" w:space="0"/>
              <w:right w:val="single" w:color="000000" w:sz="4" w:space="0"/>
            </w:tcBorders>
            <w:noWrap/>
            <w:vAlign w:val="center"/>
          </w:tcPr>
          <w:p w14:paraId="6DC9ED16">
            <w:pPr>
              <w:widowControl/>
              <w:jc w:val="center"/>
              <w:rPr>
                <w:rFonts w:ascii="宋体" w:hAnsi="宋体" w:eastAsia="宋体" w:cs="宋体"/>
                <w:color w:val="auto"/>
                <w:szCs w:val="21"/>
              </w:rPr>
            </w:pPr>
            <w:r>
              <w:rPr>
                <w:rFonts w:hint="eastAsia" w:ascii="宋体" w:hAnsi="宋体" w:eastAsia="宋体" w:cs="宋体"/>
                <w:color w:val="auto"/>
                <w:szCs w:val="21"/>
              </w:rPr>
              <w:t>服务期限：自账号开通之日起一年。</w:t>
            </w:r>
          </w:p>
        </w:tc>
      </w:tr>
    </w:tbl>
    <w:tbl>
      <w:tblPr>
        <w:tblStyle w:val="35"/>
        <w:tblpPr w:leftFromText="180" w:rightFromText="180" w:vertAnchor="text" w:horzAnchor="page" w:tblpX="1351" w:tblpY="68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9"/>
        <w:gridCol w:w="1483"/>
        <w:gridCol w:w="1160"/>
        <w:gridCol w:w="2645"/>
        <w:gridCol w:w="2463"/>
      </w:tblGrid>
      <w:tr w14:paraId="721B7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pct"/>
            <w:noWrap w:val="0"/>
            <w:vAlign w:val="center"/>
          </w:tcPr>
          <w:p w14:paraId="7865C529">
            <w:pPr>
              <w:widowControl/>
              <w:tabs>
                <w:tab w:val="left" w:pos="420"/>
              </w:tabs>
              <w:jc w:val="center"/>
              <w:rPr>
                <w:rFonts w:ascii="宋体" w:hAnsi="宋体" w:eastAsia="宋体" w:cs="宋体"/>
                <w:color w:val="auto"/>
                <w:szCs w:val="21"/>
              </w:rPr>
            </w:pPr>
            <w:r>
              <w:rPr>
                <w:rFonts w:hint="eastAsia" w:ascii="宋体" w:hAnsi="宋体" w:eastAsia="宋体" w:cs="宋体"/>
                <w:color w:val="auto"/>
                <w:szCs w:val="21"/>
              </w:rPr>
              <w:t>序号</w:t>
            </w:r>
          </w:p>
        </w:tc>
        <w:tc>
          <w:tcPr>
            <w:tcW w:w="831" w:type="pct"/>
            <w:noWrap w:val="0"/>
            <w:vAlign w:val="center"/>
          </w:tcPr>
          <w:p w14:paraId="06F8463D">
            <w:pPr>
              <w:widowControl/>
              <w:jc w:val="center"/>
              <w:rPr>
                <w:rFonts w:ascii="宋体" w:hAnsi="宋体" w:eastAsia="宋体" w:cs="宋体"/>
                <w:color w:val="auto"/>
                <w:szCs w:val="21"/>
              </w:rPr>
            </w:pPr>
            <w:r>
              <w:rPr>
                <w:rFonts w:hint="eastAsia" w:ascii="宋体" w:hAnsi="宋体" w:eastAsia="宋体" w:cs="宋体"/>
                <w:color w:val="auto"/>
                <w:szCs w:val="21"/>
              </w:rPr>
              <w:t>名称</w:t>
            </w:r>
          </w:p>
        </w:tc>
        <w:tc>
          <w:tcPr>
            <w:tcW w:w="650" w:type="pct"/>
            <w:noWrap w:val="0"/>
            <w:vAlign w:val="center"/>
          </w:tcPr>
          <w:p w14:paraId="4A04ACAC">
            <w:pPr>
              <w:widowControl/>
              <w:jc w:val="center"/>
              <w:rPr>
                <w:rFonts w:ascii="宋体" w:hAnsi="宋体" w:eastAsia="宋体" w:cs="宋体"/>
                <w:color w:val="auto"/>
                <w:szCs w:val="21"/>
              </w:rPr>
            </w:pPr>
            <w:r>
              <w:rPr>
                <w:rFonts w:hint="eastAsia" w:ascii="宋体" w:hAnsi="宋体" w:eastAsia="宋体" w:cs="宋体"/>
                <w:color w:val="auto"/>
                <w:szCs w:val="21"/>
              </w:rPr>
              <w:t>一级功能</w:t>
            </w:r>
          </w:p>
        </w:tc>
        <w:tc>
          <w:tcPr>
            <w:tcW w:w="1482" w:type="pct"/>
            <w:noWrap w:val="0"/>
            <w:vAlign w:val="center"/>
          </w:tcPr>
          <w:p w14:paraId="193BABB2">
            <w:pPr>
              <w:widowControl/>
              <w:jc w:val="center"/>
              <w:rPr>
                <w:rFonts w:ascii="宋体" w:hAnsi="宋体" w:eastAsia="宋体" w:cs="宋体"/>
                <w:color w:val="auto"/>
                <w:szCs w:val="21"/>
              </w:rPr>
            </w:pPr>
            <w:r>
              <w:rPr>
                <w:rFonts w:hint="eastAsia" w:ascii="宋体" w:hAnsi="宋体" w:eastAsia="宋体" w:cs="宋体"/>
                <w:color w:val="auto"/>
                <w:szCs w:val="21"/>
              </w:rPr>
              <w:t>二级功能</w:t>
            </w:r>
          </w:p>
        </w:tc>
        <w:tc>
          <w:tcPr>
            <w:tcW w:w="1379" w:type="pct"/>
            <w:noWrap w:val="0"/>
            <w:vAlign w:val="center"/>
          </w:tcPr>
          <w:p w14:paraId="46533A54">
            <w:pPr>
              <w:widowControl/>
              <w:jc w:val="center"/>
              <w:rPr>
                <w:rFonts w:ascii="宋体" w:hAnsi="宋体" w:eastAsia="宋体" w:cs="宋体"/>
                <w:color w:val="auto"/>
                <w:szCs w:val="21"/>
              </w:rPr>
            </w:pPr>
            <w:r>
              <w:rPr>
                <w:rFonts w:hint="eastAsia" w:ascii="宋体" w:hAnsi="宋体" w:eastAsia="宋体" w:cs="宋体"/>
                <w:color w:val="auto"/>
                <w:szCs w:val="21"/>
              </w:rPr>
              <w:t>许可数</w:t>
            </w:r>
          </w:p>
        </w:tc>
      </w:tr>
      <w:tr w14:paraId="41C28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655" w:type="pct"/>
            <w:vMerge w:val="restart"/>
            <w:noWrap w:val="0"/>
            <w:vAlign w:val="center"/>
          </w:tcPr>
          <w:p w14:paraId="30F75D6B">
            <w:pPr>
              <w:jc w:val="center"/>
              <w:rPr>
                <w:rFonts w:ascii="宋体" w:hAnsi="宋体" w:eastAsia="宋体" w:cs="宋体"/>
                <w:color w:val="auto"/>
                <w:szCs w:val="21"/>
              </w:rPr>
            </w:pPr>
            <w:r>
              <w:rPr>
                <w:rFonts w:hint="eastAsia" w:ascii="宋体" w:hAnsi="宋体" w:eastAsia="宋体" w:cs="宋体"/>
                <w:color w:val="auto"/>
                <w:szCs w:val="21"/>
              </w:rPr>
              <w:t>3</w:t>
            </w:r>
          </w:p>
        </w:tc>
        <w:tc>
          <w:tcPr>
            <w:tcW w:w="831" w:type="pct"/>
            <w:vMerge w:val="restart"/>
            <w:noWrap w:val="0"/>
            <w:vAlign w:val="center"/>
          </w:tcPr>
          <w:p w14:paraId="5E3EFB77">
            <w:pPr>
              <w:jc w:val="center"/>
              <w:rPr>
                <w:rFonts w:ascii="宋体" w:hAnsi="宋体" w:eastAsia="宋体" w:cs="宋体"/>
                <w:color w:val="auto"/>
                <w:szCs w:val="21"/>
              </w:rPr>
            </w:pPr>
            <w:r>
              <w:rPr>
                <w:rFonts w:hint="eastAsia" w:ascii="宋体" w:hAnsi="宋体" w:eastAsia="宋体" w:cs="宋体"/>
                <w:color w:val="auto"/>
                <w:szCs w:val="21"/>
              </w:rPr>
              <w:t>类似探照灯服务平台</w:t>
            </w:r>
          </w:p>
        </w:tc>
        <w:tc>
          <w:tcPr>
            <w:tcW w:w="650" w:type="pct"/>
            <w:vMerge w:val="restart"/>
            <w:noWrap w:val="0"/>
            <w:vAlign w:val="center"/>
          </w:tcPr>
          <w:p w14:paraId="49EEDBFF">
            <w:pPr>
              <w:jc w:val="center"/>
              <w:rPr>
                <w:rFonts w:ascii="宋体" w:hAnsi="宋体" w:eastAsia="宋体" w:cs="宋体"/>
                <w:color w:val="auto"/>
                <w:szCs w:val="21"/>
              </w:rPr>
            </w:pPr>
            <w:r>
              <w:rPr>
                <w:rFonts w:hint="eastAsia" w:ascii="宋体" w:hAnsi="宋体" w:eastAsia="宋体" w:cs="宋体"/>
                <w:color w:val="auto"/>
                <w:szCs w:val="21"/>
              </w:rPr>
              <w:t>全息档案</w:t>
            </w:r>
          </w:p>
        </w:tc>
        <w:tc>
          <w:tcPr>
            <w:tcW w:w="1482" w:type="pct"/>
            <w:noWrap w:val="0"/>
            <w:vAlign w:val="center"/>
          </w:tcPr>
          <w:p w14:paraId="5CCE8A2B">
            <w:pPr>
              <w:widowControl/>
              <w:jc w:val="center"/>
              <w:rPr>
                <w:rFonts w:ascii="宋体" w:hAnsi="宋体" w:eastAsia="宋体" w:cs="宋体"/>
                <w:color w:val="auto"/>
                <w:szCs w:val="21"/>
              </w:rPr>
            </w:pPr>
            <w:r>
              <w:rPr>
                <w:rFonts w:hint="eastAsia" w:ascii="宋体" w:hAnsi="宋体" w:eastAsia="宋体" w:cs="宋体"/>
                <w:color w:val="auto"/>
                <w:szCs w:val="21"/>
              </w:rPr>
              <w:t>全息线索分析</w:t>
            </w:r>
          </w:p>
        </w:tc>
        <w:tc>
          <w:tcPr>
            <w:tcW w:w="1379" w:type="pct"/>
            <w:noWrap w:val="0"/>
            <w:vAlign w:val="center"/>
          </w:tcPr>
          <w:p w14:paraId="294879E3">
            <w:pPr>
              <w:widowControl/>
              <w:jc w:val="center"/>
              <w:rPr>
                <w:rFonts w:ascii="宋体" w:hAnsi="宋体" w:eastAsia="宋体" w:cs="宋体"/>
                <w:color w:val="auto"/>
                <w:szCs w:val="21"/>
              </w:rPr>
            </w:pPr>
            <w:r>
              <w:rPr>
                <w:rFonts w:hint="eastAsia" w:ascii="宋体" w:hAnsi="宋体" w:eastAsia="宋体" w:cs="宋体"/>
                <w:color w:val="auto"/>
                <w:szCs w:val="21"/>
              </w:rPr>
              <w:t>2</w:t>
            </w:r>
          </w:p>
        </w:tc>
      </w:tr>
      <w:tr w14:paraId="52944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55" w:type="pct"/>
            <w:vMerge w:val="continue"/>
            <w:noWrap w:val="0"/>
            <w:vAlign w:val="center"/>
          </w:tcPr>
          <w:p w14:paraId="660EC343">
            <w:pPr>
              <w:widowControl/>
              <w:jc w:val="center"/>
              <w:rPr>
                <w:rFonts w:ascii="宋体" w:hAnsi="宋体" w:eastAsia="宋体" w:cs="宋体"/>
                <w:color w:val="auto"/>
                <w:szCs w:val="21"/>
              </w:rPr>
            </w:pPr>
          </w:p>
        </w:tc>
        <w:tc>
          <w:tcPr>
            <w:tcW w:w="831" w:type="pct"/>
            <w:vMerge w:val="continue"/>
            <w:noWrap w:val="0"/>
            <w:vAlign w:val="center"/>
          </w:tcPr>
          <w:p w14:paraId="65EE5132">
            <w:pPr>
              <w:widowControl/>
              <w:jc w:val="center"/>
              <w:rPr>
                <w:rFonts w:ascii="宋体" w:hAnsi="宋体" w:eastAsia="宋体" w:cs="宋体"/>
                <w:color w:val="auto"/>
                <w:szCs w:val="21"/>
              </w:rPr>
            </w:pPr>
          </w:p>
        </w:tc>
        <w:tc>
          <w:tcPr>
            <w:tcW w:w="650" w:type="pct"/>
            <w:vMerge w:val="continue"/>
            <w:noWrap w:val="0"/>
            <w:vAlign w:val="center"/>
          </w:tcPr>
          <w:p w14:paraId="2C31F3AF">
            <w:pPr>
              <w:widowControl/>
              <w:jc w:val="center"/>
              <w:rPr>
                <w:rFonts w:ascii="宋体" w:hAnsi="宋体" w:eastAsia="宋体" w:cs="宋体"/>
                <w:color w:val="auto"/>
                <w:szCs w:val="21"/>
              </w:rPr>
            </w:pPr>
          </w:p>
        </w:tc>
        <w:tc>
          <w:tcPr>
            <w:tcW w:w="1482" w:type="pct"/>
            <w:noWrap w:val="0"/>
            <w:vAlign w:val="center"/>
          </w:tcPr>
          <w:p w14:paraId="3CC3FFBB">
            <w:pPr>
              <w:widowControl/>
              <w:jc w:val="center"/>
              <w:rPr>
                <w:rFonts w:ascii="宋体" w:hAnsi="宋体" w:eastAsia="宋体" w:cs="宋体"/>
                <w:color w:val="auto"/>
                <w:szCs w:val="21"/>
              </w:rPr>
            </w:pPr>
            <w:r>
              <w:rPr>
                <w:rFonts w:hint="eastAsia" w:ascii="宋体" w:hAnsi="宋体" w:eastAsia="宋体" w:cs="宋体"/>
                <w:color w:val="auto"/>
                <w:szCs w:val="21"/>
              </w:rPr>
              <w:t>重点人管理</w:t>
            </w:r>
          </w:p>
        </w:tc>
        <w:tc>
          <w:tcPr>
            <w:tcW w:w="1379" w:type="pct"/>
            <w:noWrap w:val="0"/>
            <w:vAlign w:val="center"/>
          </w:tcPr>
          <w:p w14:paraId="65E3E9B7">
            <w:pPr>
              <w:widowControl/>
              <w:jc w:val="center"/>
              <w:rPr>
                <w:rFonts w:ascii="宋体" w:hAnsi="宋体" w:eastAsia="宋体" w:cs="宋体"/>
                <w:color w:val="auto"/>
                <w:szCs w:val="21"/>
              </w:rPr>
            </w:pPr>
            <w:r>
              <w:rPr>
                <w:rFonts w:hint="eastAsia" w:ascii="宋体" w:hAnsi="宋体" w:eastAsia="宋体" w:cs="宋体"/>
                <w:color w:val="auto"/>
                <w:szCs w:val="21"/>
              </w:rPr>
              <w:t>2</w:t>
            </w:r>
          </w:p>
        </w:tc>
      </w:tr>
      <w:tr w14:paraId="59328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655" w:type="pct"/>
            <w:vMerge w:val="continue"/>
            <w:noWrap w:val="0"/>
            <w:vAlign w:val="center"/>
          </w:tcPr>
          <w:p w14:paraId="4A531551">
            <w:pPr>
              <w:widowControl/>
              <w:jc w:val="center"/>
              <w:rPr>
                <w:rFonts w:ascii="宋体" w:hAnsi="宋体" w:eastAsia="宋体" w:cs="宋体"/>
                <w:color w:val="auto"/>
                <w:szCs w:val="21"/>
              </w:rPr>
            </w:pPr>
          </w:p>
        </w:tc>
        <w:tc>
          <w:tcPr>
            <w:tcW w:w="831" w:type="pct"/>
            <w:vMerge w:val="continue"/>
            <w:noWrap w:val="0"/>
            <w:vAlign w:val="center"/>
          </w:tcPr>
          <w:p w14:paraId="0FDA58BC">
            <w:pPr>
              <w:widowControl/>
              <w:jc w:val="center"/>
              <w:rPr>
                <w:rFonts w:ascii="宋体" w:hAnsi="宋体" w:eastAsia="宋体" w:cs="宋体"/>
                <w:color w:val="auto"/>
                <w:szCs w:val="21"/>
              </w:rPr>
            </w:pPr>
          </w:p>
        </w:tc>
        <w:tc>
          <w:tcPr>
            <w:tcW w:w="650" w:type="pct"/>
            <w:vMerge w:val="continue"/>
            <w:noWrap w:val="0"/>
            <w:vAlign w:val="center"/>
          </w:tcPr>
          <w:p w14:paraId="46E5B161">
            <w:pPr>
              <w:widowControl/>
              <w:jc w:val="center"/>
              <w:rPr>
                <w:rFonts w:ascii="宋体" w:hAnsi="宋体" w:eastAsia="宋体" w:cs="宋体"/>
                <w:color w:val="auto"/>
                <w:szCs w:val="21"/>
              </w:rPr>
            </w:pPr>
          </w:p>
        </w:tc>
        <w:tc>
          <w:tcPr>
            <w:tcW w:w="1482" w:type="pct"/>
            <w:noWrap w:val="0"/>
            <w:vAlign w:val="center"/>
          </w:tcPr>
          <w:p w14:paraId="10618510">
            <w:pPr>
              <w:widowControl/>
              <w:jc w:val="center"/>
              <w:rPr>
                <w:rFonts w:ascii="宋体" w:hAnsi="宋体" w:eastAsia="宋体" w:cs="宋体"/>
                <w:color w:val="auto"/>
                <w:szCs w:val="21"/>
              </w:rPr>
            </w:pPr>
            <w:r>
              <w:rPr>
                <w:rFonts w:hint="eastAsia" w:ascii="宋体" w:hAnsi="宋体" w:eastAsia="宋体" w:cs="宋体"/>
                <w:color w:val="auto"/>
                <w:szCs w:val="21"/>
              </w:rPr>
              <w:t>融合落位分析</w:t>
            </w:r>
          </w:p>
        </w:tc>
        <w:tc>
          <w:tcPr>
            <w:tcW w:w="1379" w:type="pct"/>
            <w:noWrap w:val="0"/>
            <w:vAlign w:val="center"/>
          </w:tcPr>
          <w:p w14:paraId="2BE0E841">
            <w:pPr>
              <w:widowControl/>
              <w:jc w:val="center"/>
              <w:rPr>
                <w:rFonts w:ascii="宋体" w:hAnsi="宋体" w:eastAsia="宋体" w:cs="宋体"/>
                <w:color w:val="auto"/>
                <w:szCs w:val="21"/>
              </w:rPr>
            </w:pPr>
            <w:r>
              <w:rPr>
                <w:rFonts w:hint="eastAsia" w:ascii="宋体" w:hAnsi="宋体" w:eastAsia="宋体" w:cs="宋体"/>
                <w:color w:val="auto"/>
                <w:szCs w:val="21"/>
              </w:rPr>
              <w:t>2</w:t>
            </w:r>
          </w:p>
        </w:tc>
      </w:tr>
      <w:tr w14:paraId="78FDC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655" w:type="pct"/>
            <w:vMerge w:val="continue"/>
            <w:noWrap w:val="0"/>
            <w:vAlign w:val="center"/>
          </w:tcPr>
          <w:p w14:paraId="027F2FA1">
            <w:pPr>
              <w:widowControl/>
              <w:jc w:val="center"/>
              <w:rPr>
                <w:rFonts w:ascii="宋体" w:hAnsi="宋体" w:eastAsia="宋体" w:cs="宋体"/>
                <w:color w:val="auto"/>
                <w:szCs w:val="21"/>
              </w:rPr>
            </w:pPr>
          </w:p>
        </w:tc>
        <w:tc>
          <w:tcPr>
            <w:tcW w:w="831" w:type="pct"/>
            <w:vMerge w:val="continue"/>
            <w:noWrap w:val="0"/>
            <w:vAlign w:val="center"/>
          </w:tcPr>
          <w:p w14:paraId="717BF562">
            <w:pPr>
              <w:widowControl/>
              <w:jc w:val="center"/>
              <w:rPr>
                <w:rFonts w:ascii="宋体" w:hAnsi="宋体" w:eastAsia="宋体" w:cs="宋体"/>
                <w:color w:val="auto"/>
                <w:szCs w:val="21"/>
              </w:rPr>
            </w:pPr>
          </w:p>
        </w:tc>
        <w:tc>
          <w:tcPr>
            <w:tcW w:w="650" w:type="pct"/>
            <w:vMerge w:val="continue"/>
            <w:noWrap w:val="0"/>
            <w:vAlign w:val="center"/>
          </w:tcPr>
          <w:p w14:paraId="12993A90">
            <w:pPr>
              <w:widowControl/>
              <w:jc w:val="center"/>
              <w:rPr>
                <w:rFonts w:ascii="宋体" w:hAnsi="宋体" w:eastAsia="宋体" w:cs="宋体"/>
                <w:color w:val="auto"/>
                <w:szCs w:val="21"/>
              </w:rPr>
            </w:pPr>
          </w:p>
        </w:tc>
        <w:tc>
          <w:tcPr>
            <w:tcW w:w="1482" w:type="pct"/>
            <w:noWrap w:val="0"/>
            <w:vAlign w:val="center"/>
          </w:tcPr>
          <w:p w14:paraId="0047B5DB">
            <w:pPr>
              <w:widowControl/>
              <w:jc w:val="center"/>
              <w:rPr>
                <w:rFonts w:ascii="宋体" w:hAnsi="宋体" w:eastAsia="宋体" w:cs="宋体"/>
                <w:color w:val="auto"/>
                <w:szCs w:val="21"/>
              </w:rPr>
            </w:pPr>
            <w:r>
              <w:rPr>
                <w:rFonts w:hint="eastAsia" w:ascii="宋体" w:hAnsi="宋体" w:eastAsia="宋体" w:cs="宋体"/>
                <w:color w:val="auto"/>
                <w:szCs w:val="21"/>
              </w:rPr>
              <w:t>触网WiFi</w:t>
            </w:r>
          </w:p>
        </w:tc>
        <w:tc>
          <w:tcPr>
            <w:tcW w:w="1379" w:type="pct"/>
            <w:noWrap w:val="0"/>
            <w:vAlign w:val="center"/>
          </w:tcPr>
          <w:p w14:paraId="59C1235F">
            <w:pPr>
              <w:widowControl/>
              <w:jc w:val="center"/>
              <w:rPr>
                <w:rFonts w:ascii="宋体" w:hAnsi="宋体" w:eastAsia="宋体" w:cs="宋体"/>
                <w:color w:val="auto"/>
                <w:szCs w:val="21"/>
              </w:rPr>
            </w:pPr>
            <w:r>
              <w:rPr>
                <w:rFonts w:hint="eastAsia" w:ascii="宋体" w:hAnsi="宋体" w:eastAsia="宋体" w:cs="宋体"/>
                <w:color w:val="auto"/>
                <w:szCs w:val="21"/>
              </w:rPr>
              <w:t>2</w:t>
            </w:r>
          </w:p>
        </w:tc>
      </w:tr>
      <w:tr w14:paraId="1738E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655" w:type="pct"/>
            <w:vMerge w:val="continue"/>
            <w:noWrap w:val="0"/>
            <w:vAlign w:val="center"/>
          </w:tcPr>
          <w:p w14:paraId="36BA7A2E">
            <w:pPr>
              <w:widowControl/>
              <w:jc w:val="center"/>
              <w:rPr>
                <w:rFonts w:ascii="宋体" w:hAnsi="宋体" w:eastAsia="宋体" w:cs="宋体"/>
                <w:color w:val="auto"/>
                <w:szCs w:val="21"/>
              </w:rPr>
            </w:pPr>
          </w:p>
        </w:tc>
        <w:tc>
          <w:tcPr>
            <w:tcW w:w="831" w:type="pct"/>
            <w:vMerge w:val="continue"/>
            <w:noWrap w:val="0"/>
            <w:vAlign w:val="center"/>
          </w:tcPr>
          <w:p w14:paraId="1D849FAE">
            <w:pPr>
              <w:widowControl/>
              <w:jc w:val="center"/>
              <w:rPr>
                <w:rFonts w:ascii="宋体" w:hAnsi="宋体" w:eastAsia="宋体" w:cs="宋体"/>
                <w:color w:val="auto"/>
                <w:szCs w:val="21"/>
              </w:rPr>
            </w:pPr>
          </w:p>
        </w:tc>
        <w:tc>
          <w:tcPr>
            <w:tcW w:w="650" w:type="pct"/>
            <w:vMerge w:val="continue"/>
            <w:noWrap w:val="0"/>
            <w:vAlign w:val="center"/>
          </w:tcPr>
          <w:p w14:paraId="0915B4F2">
            <w:pPr>
              <w:widowControl/>
              <w:jc w:val="center"/>
              <w:rPr>
                <w:rFonts w:ascii="宋体" w:hAnsi="宋体" w:eastAsia="宋体" w:cs="宋体"/>
                <w:color w:val="auto"/>
                <w:szCs w:val="21"/>
              </w:rPr>
            </w:pPr>
          </w:p>
        </w:tc>
        <w:tc>
          <w:tcPr>
            <w:tcW w:w="1482" w:type="pct"/>
            <w:noWrap w:val="0"/>
            <w:vAlign w:val="center"/>
          </w:tcPr>
          <w:p w14:paraId="3FFEF634">
            <w:pPr>
              <w:widowControl/>
              <w:jc w:val="center"/>
              <w:rPr>
                <w:rFonts w:ascii="宋体" w:hAnsi="宋体" w:eastAsia="宋体" w:cs="宋体"/>
                <w:color w:val="auto"/>
                <w:szCs w:val="21"/>
              </w:rPr>
            </w:pPr>
            <w:r>
              <w:rPr>
                <w:rFonts w:hint="eastAsia" w:ascii="宋体" w:hAnsi="宋体" w:eastAsia="宋体" w:cs="宋体"/>
                <w:color w:val="auto"/>
                <w:szCs w:val="21"/>
              </w:rPr>
              <w:t>行为分析</w:t>
            </w:r>
          </w:p>
        </w:tc>
        <w:tc>
          <w:tcPr>
            <w:tcW w:w="1379" w:type="pct"/>
            <w:noWrap w:val="0"/>
            <w:vAlign w:val="center"/>
          </w:tcPr>
          <w:p w14:paraId="78182934">
            <w:pPr>
              <w:widowControl/>
              <w:jc w:val="center"/>
              <w:rPr>
                <w:rFonts w:ascii="宋体" w:hAnsi="宋体" w:eastAsia="宋体" w:cs="宋体"/>
                <w:color w:val="auto"/>
                <w:szCs w:val="21"/>
              </w:rPr>
            </w:pPr>
            <w:r>
              <w:rPr>
                <w:rFonts w:hint="eastAsia" w:ascii="宋体" w:hAnsi="宋体" w:eastAsia="宋体" w:cs="宋体"/>
                <w:color w:val="auto"/>
                <w:szCs w:val="21"/>
              </w:rPr>
              <w:t>2</w:t>
            </w:r>
          </w:p>
        </w:tc>
      </w:tr>
      <w:tr w14:paraId="1B547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655" w:type="pct"/>
            <w:vMerge w:val="continue"/>
            <w:noWrap w:val="0"/>
            <w:vAlign w:val="center"/>
          </w:tcPr>
          <w:p w14:paraId="3135C83E">
            <w:pPr>
              <w:widowControl/>
              <w:jc w:val="center"/>
              <w:rPr>
                <w:rFonts w:ascii="宋体" w:hAnsi="宋体" w:eastAsia="宋体" w:cs="宋体"/>
                <w:color w:val="auto"/>
                <w:szCs w:val="21"/>
              </w:rPr>
            </w:pPr>
          </w:p>
        </w:tc>
        <w:tc>
          <w:tcPr>
            <w:tcW w:w="831" w:type="pct"/>
            <w:vMerge w:val="continue"/>
            <w:noWrap w:val="0"/>
            <w:vAlign w:val="center"/>
          </w:tcPr>
          <w:p w14:paraId="186D33E4">
            <w:pPr>
              <w:widowControl/>
              <w:jc w:val="center"/>
              <w:rPr>
                <w:rFonts w:ascii="宋体" w:hAnsi="宋体" w:eastAsia="宋体" w:cs="宋体"/>
                <w:color w:val="auto"/>
                <w:szCs w:val="21"/>
              </w:rPr>
            </w:pPr>
          </w:p>
        </w:tc>
        <w:tc>
          <w:tcPr>
            <w:tcW w:w="650" w:type="pct"/>
            <w:vMerge w:val="restart"/>
            <w:noWrap w:val="0"/>
            <w:vAlign w:val="center"/>
          </w:tcPr>
          <w:p w14:paraId="00D23F54">
            <w:pPr>
              <w:widowControl/>
              <w:jc w:val="center"/>
              <w:rPr>
                <w:rFonts w:ascii="宋体" w:hAnsi="宋体" w:eastAsia="宋体" w:cs="宋体"/>
                <w:color w:val="auto"/>
                <w:szCs w:val="21"/>
              </w:rPr>
            </w:pPr>
            <w:r>
              <w:rPr>
                <w:rFonts w:hint="eastAsia" w:ascii="宋体" w:hAnsi="宋体" w:eastAsia="宋体" w:cs="宋体"/>
                <w:color w:val="auto"/>
                <w:szCs w:val="21"/>
              </w:rPr>
              <w:t>布控追踪</w:t>
            </w:r>
          </w:p>
        </w:tc>
        <w:tc>
          <w:tcPr>
            <w:tcW w:w="1482" w:type="pct"/>
            <w:noWrap w:val="0"/>
            <w:vAlign w:val="center"/>
          </w:tcPr>
          <w:p w14:paraId="7BBD574B">
            <w:pPr>
              <w:widowControl/>
              <w:jc w:val="center"/>
              <w:rPr>
                <w:rFonts w:ascii="宋体" w:hAnsi="宋体" w:eastAsia="宋体" w:cs="宋体"/>
                <w:color w:val="auto"/>
                <w:szCs w:val="21"/>
              </w:rPr>
            </w:pPr>
            <w:r>
              <w:rPr>
                <w:rFonts w:hint="eastAsia" w:ascii="宋体" w:hAnsi="宋体" w:eastAsia="宋体" w:cs="宋体"/>
                <w:color w:val="auto"/>
                <w:szCs w:val="21"/>
              </w:rPr>
              <w:t>流入布控</w:t>
            </w:r>
          </w:p>
        </w:tc>
        <w:tc>
          <w:tcPr>
            <w:tcW w:w="1379" w:type="pct"/>
            <w:noWrap w:val="0"/>
            <w:vAlign w:val="center"/>
          </w:tcPr>
          <w:p w14:paraId="1A8CB6A6">
            <w:pPr>
              <w:widowControl/>
              <w:jc w:val="center"/>
              <w:rPr>
                <w:rFonts w:ascii="宋体" w:hAnsi="宋体" w:eastAsia="宋体" w:cs="宋体"/>
                <w:color w:val="auto"/>
                <w:szCs w:val="21"/>
              </w:rPr>
            </w:pPr>
            <w:r>
              <w:rPr>
                <w:rFonts w:hint="eastAsia" w:ascii="宋体" w:hAnsi="宋体" w:eastAsia="宋体" w:cs="宋体"/>
                <w:color w:val="auto"/>
                <w:szCs w:val="21"/>
              </w:rPr>
              <w:t>2</w:t>
            </w:r>
          </w:p>
        </w:tc>
      </w:tr>
      <w:tr w14:paraId="31785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655" w:type="pct"/>
            <w:vMerge w:val="continue"/>
            <w:noWrap w:val="0"/>
            <w:vAlign w:val="center"/>
          </w:tcPr>
          <w:p w14:paraId="06A94E64">
            <w:pPr>
              <w:widowControl/>
              <w:jc w:val="center"/>
              <w:rPr>
                <w:rFonts w:ascii="宋体" w:hAnsi="宋体" w:eastAsia="宋体" w:cs="宋体"/>
                <w:color w:val="auto"/>
                <w:szCs w:val="21"/>
              </w:rPr>
            </w:pPr>
          </w:p>
        </w:tc>
        <w:tc>
          <w:tcPr>
            <w:tcW w:w="831" w:type="pct"/>
            <w:vMerge w:val="continue"/>
            <w:noWrap w:val="0"/>
            <w:vAlign w:val="center"/>
          </w:tcPr>
          <w:p w14:paraId="6E32CA51">
            <w:pPr>
              <w:widowControl/>
              <w:jc w:val="center"/>
              <w:rPr>
                <w:rFonts w:ascii="宋体" w:hAnsi="宋体" w:eastAsia="宋体" w:cs="宋体"/>
                <w:color w:val="auto"/>
                <w:szCs w:val="21"/>
              </w:rPr>
            </w:pPr>
          </w:p>
        </w:tc>
        <w:tc>
          <w:tcPr>
            <w:tcW w:w="650" w:type="pct"/>
            <w:vMerge w:val="continue"/>
            <w:noWrap w:val="0"/>
            <w:vAlign w:val="center"/>
          </w:tcPr>
          <w:p w14:paraId="1BE56077">
            <w:pPr>
              <w:widowControl/>
              <w:jc w:val="center"/>
              <w:rPr>
                <w:rFonts w:ascii="宋体" w:hAnsi="宋体" w:eastAsia="宋体" w:cs="宋体"/>
                <w:color w:val="auto"/>
                <w:szCs w:val="21"/>
              </w:rPr>
            </w:pPr>
          </w:p>
        </w:tc>
        <w:tc>
          <w:tcPr>
            <w:tcW w:w="1482" w:type="pct"/>
            <w:noWrap w:val="0"/>
            <w:vAlign w:val="center"/>
          </w:tcPr>
          <w:p w14:paraId="2C618CAE">
            <w:pPr>
              <w:widowControl/>
              <w:jc w:val="center"/>
              <w:rPr>
                <w:rFonts w:ascii="宋体" w:hAnsi="宋体" w:eastAsia="宋体" w:cs="宋体"/>
                <w:color w:val="auto"/>
                <w:szCs w:val="21"/>
              </w:rPr>
            </w:pPr>
            <w:r>
              <w:rPr>
                <w:rFonts w:hint="eastAsia" w:ascii="宋体" w:hAnsi="宋体" w:eastAsia="宋体" w:cs="宋体"/>
                <w:color w:val="auto"/>
                <w:szCs w:val="21"/>
              </w:rPr>
              <w:t>流出布控</w:t>
            </w:r>
          </w:p>
        </w:tc>
        <w:tc>
          <w:tcPr>
            <w:tcW w:w="1379" w:type="pct"/>
            <w:noWrap w:val="0"/>
            <w:vAlign w:val="center"/>
          </w:tcPr>
          <w:p w14:paraId="1BFC2CD5">
            <w:pPr>
              <w:widowControl/>
              <w:jc w:val="center"/>
              <w:rPr>
                <w:rFonts w:ascii="宋体" w:hAnsi="宋体" w:eastAsia="宋体" w:cs="宋体"/>
                <w:color w:val="auto"/>
                <w:szCs w:val="21"/>
              </w:rPr>
            </w:pPr>
            <w:r>
              <w:rPr>
                <w:rFonts w:hint="eastAsia" w:ascii="宋体" w:hAnsi="宋体" w:eastAsia="宋体" w:cs="宋体"/>
                <w:color w:val="auto"/>
                <w:szCs w:val="21"/>
              </w:rPr>
              <w:t>2</w:t>
            </w:r>
          </w:p>
        </w:tc>
      </w:tr>
      <w:tr w14:paraId="56BF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55" w:type="pct"/>
            <w:vMerge w:val="continue"/>
            <w:noWrap w:val="0"/>
            <w:vAlign w:val="center"/>
          </w:tcPr>
          <w:p w14:paraId="68AB4212">
            <w:pPr>
              <w:widowControl/>
              <w:jc w:val="center"/>
              <w:rPr>
                <w:rFonts w:ascii="宋体" w:hAnsi="宋体" w:eastAsia="宋体" w:cs="宋体"/>
                <w:color w:val="auto"/>
                <w:szCs w:val="21"/>
              </w:rPr>
            </w:pPr>
          </w:p>
        </w:tc>
        <w:tc>
          <w:tcPr>
            <w:tcW w:w="831" w:type="pct"/>
            <w:vMerge w:val="continue"/>
            <w:noWrap w:val="0"/>
            <w:vAlign w:val="center"/>
          </w:tcPr>
          <w:p w14:paraId="76EE8336">
            <w:pPr>
              <w:widowControl/>
              <w:jc w:val="center"/>
              <w:rPr>
                <w:rFonts w:ascii="宋体" w:hAnsi="宋体" w:eastAsia="宋体" w:cs="宋体"/>
                <w:color w:val="auto"/>
                <w:szCs w:val="21"/>
              </w:rPr>
            </w:pPr>
          </w:p>
        </w:tc>
        <w:tc>
          <w:tcPr>
            <w:tcW w:w="650" w:type="pct"/>
            <w:vMerge w:val="continue"/>
            <w:noWrap w:val="0"/>
            <w:vAlign w:val="center"/>
          </w:tcPr>
          <w:p w14:paraId="466C2581">
            <w:pPr>
              <w:widowControl/>
              <w:jc w:val="center"/>
              <w:rPr>
                <w:rFonts w:ascii="宋体" w:hAnsi="宋体" w:eastAsia="宋体" w:cs="宋体"/>
                <w:color w:val="auto"/>
                <w:szCs w:val="21"/>
              </w:rPr>
            </w:pPr>
          </w:p>
        </w:tc>
        <w:tc>
          <w:tcPr>
            <w:tcW w:w="1482" w:type="pct"/>
            <w:noWrap w:val="0"/>
            <w:vAlign w:val="center"/>
          </w:tcPr>
          <w:p w14:paraId="02861184">
            <w:pPr>
              <w:widowControl/>
              <w:jc w:val="center"/>
              <w:rPr>
                <w:rFonts w:ascii="宋体" w:hAnsi="宋体" w:eastAsia="宋体" w:cs="宋体"/>
                <w:color w:val="auto"/>
                <w:szCs w:val="21"/>
              </w:rPr>
            </w:pPr>
            <w:r>
              <w:rPr>
                <w:rFonts w:hint="eastAsia" w:ascii="宋体" w:hAnsi="宋体" w:eastAsia="宋体" w:cs="宋体"/>
                <w:color w:val="auto"/>
                <w:szCs w:val="21"/>
              </w:rPr>
              <w:t>落脚点布控</w:t>
            </w:r>
          </w:p>
        </w:tc>
        <w:tc>
          <w:tcPr>
            <w:tcW w:w="1379" w:type="pct"/>
            <w:noWrap w:val="0"/>
            <w:vAlign w:val="center"/>
          </w:tcPr>
          <w:p w14:paraId="3D1A286D">
            <w:pPr>
              <w:widowControl/>
              <w:jc w:val="center"/>
              <w:rPr>
                <w:rFonts w:ascii="宋体" w:hAnsi="宋体" w:eastAsia="宋体" w:cs="宋体"/>
                <w:color w:val="auto"/>
                <w:szCs w:val="21"/>
              </w:rPr>
            </w:pPr>
            <w:r>
              <w:rPr>
                <w:rFonts w:hint="eastAsia" w:ascii="宋体" w:hAnsi="宋体" w:eastAsia="宋体" w:cs="宋体"/>
                <w:color w:val="auto"/>
                <w:szCs w:val="21"/>
              </w:rPr>
              <w:t>2</w:t>
            </w:r>
          </w:p>
        </w:tc>
      </w:tr>
      <w:tr w14:paraId="480F8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655" w:type="pct"/>
            <w:vMerge w:val="continue"/>
            <w:noWrap w:val="0"/>
            <w:vAlign w:val="center"/>
          </w:tcPr>
          <w:p w14:paraId="4F730851">
            <w:pPr>
              <w:widowControl/>
              <w:jc w:val="center"/>
              <w:rPr>
                <w:rFonts w:ascii="宋体" w:hAnsi="宋体" w:eastAsia="宋体" w:cs="宋体"/>
                <w:color w:val="auto"/>
                <w:szCs w:val="21"/>
              </w:rPr>
            </w:pPr>
          </w:p>
        </w:tc>
        <w:tc>
          <w:tcPr>
            <w:tcW w:w="831" w:type="pct"/>
            <w:vMerge w:val="continue"/>
            <w:noWrap w:val="0"/>
            <w:vAlign w:val="center"/>
          </w:tcPr>
          <w:p w14:paraId="6892B910">
            <w:pPr>
              <w:widowControl/>
              <w:jc w:val="center"/>
              <w:rPr>
                <w:rFonts w:ascii="宋体" w:hAnsi="宋体" w:eastAsia="宋体" w:cs="宋体"/>
                <w:color w:val="auto"/>
                <w:szCs w:val="21"/>
              </w:rPr>
            </w:pPr>
          </w:p>
        </w:tc>
        <w:tc>
          <w:tcPr>
            <w:tcW w:w="650" w:type="pct"/>
            <w:vMerge w:val="continue"/>
            <w:noWrap w:val="0"/>
            <w:vAlign w:val="center"/>
          </w:tcPr>
          <w:p w14:paraId="2619ACD7">
            <w:pPr>
              <w:widowControl/>
              <w:jc w:val="center"/>
              <w:rPr>
                <w:rFonts w:ascii="宋体" w:hAnsi="宋体" w:eastAsia="宋体" w:cs="宋体"/>
                <w:color w:val="auto"/>
                <w:szCs w:val="21"/>
              </w:rPr>
            </w:pPr>
          </w:p>
        </w:tc>
        <w:tc>
          <w:tcPr>
            <w:tcW w:w="1482" w:type="pct"/>
            <w:noWrap w:val="0"/>
            <w:vAlign w:val="center"/>
          </w:tcPr>
          <w:p w14:paraId="569354C5">
            <w:pPr>
              <w:widowControl/>
              <w:jc w:val="center"/>
              <w:rPr>
                <w:rFonts w:ascii="宋体" w:hAnsi="宋体" w:eastAsia="宋体" w:cs="宋体"/>
                <w:color w:val="auto"/>
                <w:szCs w:val="21"/>
              </w:rPr>
            </w:pPr>
            <w:r>
              <w:rPr>
                <w:rFonts w:hint="eastAsia" w:ascii="宋体" w:hAnsi="宋体" w:eastAsia="宋体" w:cs="宋体"/>
                <w:color w:val="auto"/>
                <w:szCs w:val="21"/>
              </w:rPr>
              <w:t>常态化管控</w:t>
            </w:r>
          </w:p>
        </w:tc>
        <w:tc>
          <w:tcPr>
            <w:tcW w:w="1379" w:type="pct"/>
            <w:noWrap w:val="0"/>
            <w:vAlign w:val="center"/>
          </w:tcPr>
          <w:p w14:paraId="4FB0A27A">
            <w:pPr>
              <w:widowControl/>
              <w:jc w:val="center"/>
              <w:rPr>
                <w:rFonts w:ascii="宋体" w:hAnsi="宋体" w:eastAsia="宋体" w:cs="宋体"/>
                <w:color w:val="auto"/>
                <w:szCs w:val="21"/>
              </w:rPr>
            </w:pPr>
            <w:r>
              <w:rPr>
                <w:rFonts w:hint="eastAsia" w:ascii="宋体" w:hAnsi="宋体" w:eastAsia="宋体" w:cs="宋体"/>
                <w:color w:val="auto"/>
                <w:szCs w:val="21"/>
              </w:rPr>
              <w:t>2</w:t>
            </w:r>
          </w:p>
        </w:tc>
      </w:tr>
      <w:tr w14:paraId="06F5A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55" w:type="pct"/>
            <w:vMerge w:val="continue"/>
            <w:noWrap w:val="0"/>
            <w:vAlign w:val="center"/>
          </w:tcPr>
          <w:p w14:paraId="4D187C34">
            <w:pPr>
              <w:widowControl/>
              <w:jc w:val="center"/>
              <w:rPr>
                <w:rFonts w:ascii="宋体" w:hAnsi="宋体" w:eastAsia="宋体" w:cs="宋体"/>
                <w:color w:val="auto"/>
                <w:szCs w:val="21"/>
              </w:rPr>
            </w:pPr>
          </w:p>
        </w:tc>
        <w:tc>
          <w:tcPr>
            <w:tcW w:w="831" w:type="pct"/>
            <w:vMerge w:val="continue"/>
            <w:noWrap w:val="0"/>
            <w:vAlign w:val="center"/>
          </w:tcPr>
          <w:p w14:paraId="5962871C">
            <w:pPr>
              <w:widowControl/>
              <w:jc w:val="center"/>
              <w:rPr>
                <w:rFonts w:ascii="宋体" w:hAnsi="宋体" w:eastAsia="宋体" w:cs="宋体"/>
                <w:color w:val="auto"/>
                <w:szCs w:val="21"/>
              </w:rPr>
            </w:pPr>
          </w:p>
        </w:tc>
        <w:tc>
          <w:tcPr>
            <w:tcW w:w="650" w:type="pct"/>
            <w:vMerge w:val="restart"/>
            <w:noWrap w:val="0"/>
            <w:vAlign w:val="center"/>
          </w:tcPr>
          <w:p w14:paraId="4C665B64">
            <w:pPr>
              <w:widowControl/>
              <w:jc w:val="center"/>
              <w:rPr>
                <w:rFonts w:ascii="宋体" w:hAnsi="宋体" w:eastAsia="宋体" w:cs="宋体"/>
                <w:color w:val="auto"/>
                <w:szCs w:val="21"/>
              </w:rPr>
            </w:pPr>
            <w:r>
              <w:rPr>
                <w:rFonts w:hint="eastAsia" w:ascii="宋体" w:hAnsi="宋体" w:eastAsia="宋体" w:cs="宋体"/>
                <w:color w:val="auto"/>
                <w:szCs w:val="21"/>
              </w:rPr>
              <w:t>案件研判</w:t>
            </w:r>
          </w:p>
        </w:tc>
        <w:tc>
          <w:tcPr>
            <w:tcW w:w="1482" w:type="pct"/>
            <w:noWrap w:val="0"/>
            <w:vAlign w:val="center"/>
          </w:tcPr>
          <w:p w14:paraId="2865011E">
            <w:pPr>
              <w:widowControl/>
              <w:jc w:val="center"/>
              <w:rPr>
                <w:rFonts w:ascii="宋体" w:hAnsi="宋体" w:eastAsia="宋体" w:cs="宋体"/>
                <w:color w:val="auto"/>
                <w:szCs w:val="21"/>
              </w:rPr>
            </w:pPr>
            <w:r>
              <w:rPr>
                <w:rFonts w:hint="eastAsia" w:ascii="宋体" w:hAnsi="宋体" w:eastAsia="宋体" w:cs="宋体"/>
                <w:color w:val="auto"/>
                <w:szCs w:val="21"/>
              </w:rPr>
              <w:t>关联拓线</w:t>
            </w:r>
          </w:p>
          <w:p w14:paraId="389730A8">
            <w:pPr>
              <w:widowControl/>
              <w:jc w:val="center"/>
              <w:rPr>
                <w:rFonts w:ascii="宋体" w:hAnsi="宋体" w:eastAsia="宋体" w:cs="宋体"/>
                <w:color w:val="auto"/>
                <w:szCs w:val="21"/>
              </w:rPr>
            </w:pPr>
            <w:r>
              <w:rPr>
                <w:rFonts w:hint="eastAsia" w:ascii="宋体" w:hAnsi="宋体" w:eastAsia="宋体" w:cs="宋体"/>
                <w:color w:val="auto"/>
                <w:szCs w:val="21"/>
              </w:rPr>
              <w:t>研判分析</w:t>
            </w:r>
          </w:p>
        </w:tc>
        <w:tc>
          <w:tcPr>
            <w:tcW w:w="1379" w:type="pct"/>
            <w:noWrap w:val="0"/>
            <w:vAlign w:val="center"/>
          </w:tcPr>
          <w:p w14:paraId="7DFA4851">
            <w:pPr>
              <w:widowControl/>
              <w:jc w:val="center"/>
              <w:rPr>
                <w:rFonts w:ascii="宋体" w:hAnsi="宋体" w:eastAsia="宋体" w:cs="宋体"/>
                <w:color w:val="auto"/>
                <w:szCs w:val="21"/>
              </w:rPr>
            </w:pPr>
            <w:r>
              <w:rPr>
                <w:rFonts w:hint="eastAsia" w:ascii="宋体" w:hAnsi="宋体" w:eastAsia="宋体" w:cs="宋体"/>
                <w:color w:val="auto"/>
                <w:szCs w:val="21"/>
              </w:rPr>
              <w:t>2</w:t>
            </w:r>
          </w:p>
        </w:tc>
      </w:tr>
      <w:tr w14:paraId="13A52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55" w:type="pct"/>
            <w:vMerge w:val="continue"/>
            <w:noWrap w:val="0"/>
            <w:vAlign w:val="center"/>
          </w:tcPr>
          <w:p w14:paraId="5C6C1CBA">
            <w:pPr>
              <w:jc w:val="center"/>
              <w:rPr>
                <w:rFonts w:ascii="宋体" w:hAnsi="宋体" w:eastAsia="宋体" w:cs="宋体"/>
                <w:color w:val="auto"/>
                <w:szCs w:val="21"/>
              </w:rPr>
            </w:pPr>
          </w:p>
        </w:tc>
        <w:tc>
          <w:tcPr>
            <w:tcW w:w="831" w:type="pct"/>
            <w:vMerge w:val="continue"/>
            <w:noWrap w:val="0"/>
            <w:vAlign w:val="center"/>
          </w:tcPr>
          <w:p w14:paraId="60D07838">
            <w:pPr>
              <w:jc w:val="center"/>
              <w:rPr>
                <w:rFonts w:ascii="宋体" w:hAnsi="宋体" w:eastAsia="宋体" w:cs="宋体"/>
                <w:color w:val="auto"/>
                <w:szCs w:val="21"/>
              </w:rPr>
            </w:pPr>
          </w:p>
        </w:tc>
        <w:tc>
          <w:tcPr>
            <w:tcW w:w="650" w:type="pct"/>
            <w:vMerge w:val="continue"/>
            <w:noWrap w:val="0"/>
            <w:vAlign w:val="center"/>
          </w:tcPr>
          <w:p w14:paraId="6C9C6235">
            <w:pPr>
              <w:jc w:val="center"/>
              <w:rPr>
                <w:rFonts w:ascii="宋体" w:hAnsi="宋体" w:eastAsia="宋体" w:cs="宋体"/>
                <w:color w:val="auto"/>
                <w:szCs w:val="21"/>
              </w:rPr>
            </w:pPr>
          </w:p>
        </w:tc>
        <w:tc>
          <w:tcPr>
            <w:tcW w:w="1482" w:type="pct"/>
            <w:noWrap w:val="0"/>
            <w:vAlign w:val="center"/>
          </w:tcPr>
          <w:p w14:paraId="325809BC">
            <w:pPr>
              <w:jc w:val="center"/>
              <w:rPr>
                <w:rFonts w:ascii="宋体" w:hAnsi="宋体" w:eastAsia="宋体" w:cs="宋体"/>
                <w:color w:val="auto"/>
                <w:szCs w:val="21"/>
              </w:rPr>
            </w:pPr>
            <w:r>
              <w:rPr>
                <w:rFonts w:hint="eastAsia" w:ascii="宋体" w:hAnsi="宋体" w:eastAsia="宋体" w:cs="宋体"/>
                <w:color w:val="auto"/>
                <w:szCs w:val="21"/>
              </w:rPr>
              <w:t>IP碰撞分析</w:t>
            </w:r>
          </w:p>
        </w:tc>
        <w:tc>
          <w:tcPr>
            <w:tcW w:w="1379" w:type="pct"/>
            <w:noWrap w:val="0"/>
            <w:vAlign w:val="center"/>
          </w:tcPr>
          <w:p w14:paraId="3B062270">
            <w:pPr>
              <w:jc w:val="center"/>
              <w:rPr>
                <w:rFonts w:ascii="宋体" w:hAnsi="宋体" w:eastAsia="宋体" w:cs="宋体"/>
                <w:color w:val="auto"/>
                <w:szCs w:val="21"/>
              </w:rPr>
            </w:pPr>
            <w:r>
              <w:rPr>
                <w:rFonts w:hint="eastAsia" w:ascii="宋体" w:hAnsi="宋体" w:eastAsia="宋体" w:cs="宋体"/>
                <w:color w:val="auto"/>
                <w:szCs w:val="21"/>
              </w:rPr>
              <w:t>2</w:t>
            </w:r>
          </w:p>
        </w:tc>
      </w:tr>
      <w:tr w14:paraId="00F9A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655" w:type="pct"/>
            <w:vMerge w:val="continue"/>
            <w:noWrap w:val="0"/>
            <w:vAlign w:val="center"/>
          </w:tcPr>
          <w:p w14:paraId="5B6B3C32">
            <w:pPr>
              <w:jc w:val="center"/>
              <w:rPr>
                <w:rFonts w:ascii="宋体" w:hAnsi="宋体" w:eastAsia="宋体" w:cs="宋体"/>
                <w:color w:val="auto"/>
                <w:szCs w:val="21"/>
              </w:rPr>
            </w:pPr>
          </w:p>
        </w:tc>
        <w:tc>
          <w:tcPr>
            <w:tcW w:w="831" w:type="pct"/>
            <w:vMerge w:val="continue"/>
            <w:noWrap w:val="0"/>
            <w:vAlign w:val="center"/>
          </w:tcPr>
          <w:p w14:paraId="2FA27125">
            <w:pPr>
              <w:jc w:val="center"/>
              <w:rPr>
                <w:rFonts w:ascii="宋体" w:hAnsi="宋体" w:eastAsia="宋体" w:cs="宋体"/>
                <w:color w:val="auto"/>
                <w:szCs w:val="21"/>
              </w:rPr>
            </w:pPr>
          </w:p>
        </w:tc>
        <w:tc>
          <w:tcPr>
            <w:tcW w:w="650" w:type="pct"/>
            <w:vMerge w:val="continue"/>
            <w:noWrap w:val="0"/>
            <w:vAlign w:val="center"/>
          </w:tcPr>
          <w:p w14:paraId="6EC9B5A4">
            <w:pPr>
              <w:jc w:val="center"/>
              <w:rPr>
                <w:rFonts w:ascii="宋体" w:hAnsi="宋体" w:eastAsia="宋体" w:cs="宋体"/>
                <w:color w:val="auto"/>
                <w:szCs w:val="21"/>
              </w:rPr>
            </w:pPr>
          </w:p>
        </w:tc>
        <w:tc>
          <w:tcPr>
            <w:tcW w:w="1482" w:type="pct"/>
            <w:noWrap w:val="0"/>
            <w:vAlign w:val="center"/>
          </w:tcPr>
          <w:p w14:paraId="1FCBDBFC">
            <w:pPr>
              <w:jc w:val="center"/>
              <w:rPr>
                <w:rFonts w:ascii="宋体" w:hAnsi="宋体" w:eastAsia="宋体" w:cs="宋体"/>
                <w:color w:val="auto"/>
                <w:szCs w:val="21"/>
              </w:rPr>
            </w:pPr>
            <w:r>
              <w:rPr>
                <w:rFonts w:hint="eastAsia" w:ascii="宋体" w:hAnsi="宋体" w:eastAsia="宋体" w:cs="宋体"/>
                <w:color w:val="auto"/>
                <w:szCs w:val="21"/>
              </w:rPr>
              <w:t>WiFi碰撞分析</w:t>
            </w:r>
          </w:p>
        </w:tc>
        <w:tc>
          <w:tcPr>
            <w:tcW w:w="1379" w:type="pct"/>
            <w:noWrap w:val="0"/>
            <w:vAlign w:val="center"/>
          </w:tcPr>
          <w:p w14:paraId="2168F5DF">
            <w:pPr>
              <w:jc w:val="center"/>
              <w:rPr>
                <w:rFonts w:ascii="宋体" w:hAnsi="宋体" w:eastAsia="宋体" w:cs="宋体"/>
                <w:color w:val="auto"/>
                <w:szCs w:val="21"/>
              </w:rPr>
            </w:pPr>
            <w:r>
              <w:rPr>
                <w:rFonts w:hint="eastAsia" w:ascii="宋体" w:hAnsi="宋体" w:eastAsia="宋体" w:cs="宋体"/>
                <w:color w:val="auto"/>
                <w:szCs w:val="21"/>
              </w:rPr>
              <w:t>2</w:t>
            </w:r>
          </w:p>
        </w:tc>
      </w:tr>
      <w:tr w14:paraId="77B1E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655" w:type="pct"/>
            <w:vMerge w:val="continue"/>
            <w:noWrap w:val="0"/>
            <w:vAlign w:val="center"/>
          </w:tcPr>
          <w:p w14:paraId="3DB304E6">
            <w:pPr>
              <w:jc w:val="center"/>
              <w:rPr>
                <w:rFonts w:ascii="宋体" w:hAnsi="宋体" w:eastAsia="宋体" w:cs="宋体"/>
                <w:color w:val="auto"/>
                <w:szCs w:val="21"/>
              </w:rPr>
            </w:pPr>
          </w:p>
        </w:tc>
        <w:tc>
          <w:tcPr>
            <w:tcW w:w="831" w:type="pct"/>
            <w:vMerge w:val="continue"/>
            <w:noWrap w:val="0"/>
            <w:vAlign w:val="center"/>
          </w:tcPr>
          <w:p w14:paraId="35F6F071">
            <w:pPr>
              <w:jc w:val="center"/>
              <w:rPr>
                <w:rFonts w:ascii="宋体" w:hAnsi="宋体" w:eastAsia="宋体" w:cs="宋体"/>
                <w:color w:val="auto"/>
                <w:szCs w:val="21"/>
              </w:rPr>
            </w:pPr>
          </w:p>
        </w:tc>
        <w:tc>
          <w:tcPr>
            <w:tcW w:w="650" w:type="pct"/>
            <w:vMerge w:val="continue"/>
            <w:noWrap w:val="0"/>
            <w:vAlign w:val="center"/>
          </w:tcPr>
          <w:p w14:paraId="532D0D21">
            <w:pPr>
              <w:jc w:val="center"/>
              <w:rPr>
                <w:rFonts w:ascii="宋体" w:hAnsi="宋体" w:eastAsia="宋体" w:cs="宋体"/>
                <w:color w:val="auto"/>
                <w:szCs w:val="21"/>
              </w:rPr>
            </w:pPr>
          </w:p>
        </w:tc>
        <w:tc>
          <w:tcPr>
            <w:tcW w:w="1482" w:type="pct"/>
            <w:noWrap w:val="0"/>
            <w:vAlign w:val="center"/>
          </w:tcPr>
          <w:p w14:paraId="3CAB586E">
            <w:pPr>
              <w:jc w:val="center"/>
              <w:rPr>
                <w:rFonts w:ascii="宋体" w:hAnsi="宋体" w:eastAsia="宋体" w:cs="宋体"/>
                <w:color w:val="auto"/>
                <w:szCs w:val="21"/>
              </w:rPr>
            </w:pPr>
            <w:r>
              <w:rPr>
                <w:rFonts w:hint="eastAsia" w:ascii="宋体" w:hAnsi="宋体" w:eastAsia="宋体" w:cs="宋体"/>
                <w:color w:val="auto"/>
                <w:szCs w:val="21"/>
              </w:rPr>
              <w:t>融合分析</w:t>
            </w:r>
          </w:p>
        </w:tc>
        <w:tc>
          <w:tcPr>
            <w:tcW w:w="1379" w:type="pct"/>
            <w:noWrap w:val="0"/>
            <w:vAlign w:val="center"/>
          </w:tcPr>
          <w:p w14:paraId="567CE7EE">
            <w:pPr>
              <w:jc w:val="center"/>
              <w:rPr>
                <w:rFonts w:ascii="宋体" w:hAnsi="宋体" w:eastAsia="宋体" w:cs="宋体"/>
                <w:color w:val="auto"/>
                <w:szCs w:val="21"/>
              </w:rPr>
            </w:pPr>
            <w:r>
              <w:rPr>
                <w:rFonts w:hint="eastAsia" w:ascii="宋体" w:hAnsi="宋体" w:eastAsia="宋体" w:cs="宋体"/>
                <w:color w:val="auto"/>
                <w:szCs w:val="21"/>
              </w:rPr>
              <w:t>2</w:t>
            </w:r>
          </w:p>
        </w:tc>
      </w:tr>
      <w:tr w14:paraId="4B00A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55" w:type="pct"/>
            <w:vMerge w:val="continue"/>
            <w:noWrap w:val="0"/>
            <w:vAlign w:val="center"/>
          </w:tcPr>
          <w:p w14:paraId="6704240C">
            <w:pPr>
              <w:jc w:val="center"/>
              <w:rPr>
                <w:rFonts w:ascii="宋体" w:hAnsi="宋体" w:eastAsia="宋体" w:cs="宋体"/>
                <w:color w:val="auto"/>
                <w:szCs w:val="21"/>
              </w:rPr>
            </w:pPr>
          </w:p>
        </w:tc>
        <w:tc>
          <w:tcPr>
            <w:tcW w:w="831" w:type="pct"/>
            <w:vMerge w:val="continue"/>
            <w:noWrap w:val="0"/>
            <w:vAlign w:val="center"/>
          </w:tcPr>
          <w:p w14:paraId="396EF412">
            <w:pPr>
              <w:jc w:val="center"/>
              <w:rPr>
                <w:rFonts w:ascii="宋体" w:hAnsi="宋体" w:eastAsia="宋体" w:cs="宋体"/>
                <w:color w:val="auto"/>
                <w:szCs w:val="21"/>
              </w:rPr>
            </w:pPr>
          </w:p>
        </w:tc>
        <w:tc>
          <w:tcPr>
            <w:tcW w:w="650" w:type="pct"/>
            <w:vMerge w:val="continue"/>
            <w:noWrap w:val="0"/>
            <w:vAlign w:val="center"/>
          </w:tcPr>
          <w:p w14:paraId="293FB000">
            <w:pPr>
              <w:jc w:val="center"/>
              <w:rPr>
                <w:rFonts w:ascii="宋体" w:hAnsi="宋体" w:eastAsia="宋体" w:cs="宋体"/>
                <w:color w:val="auto"/>
                <w:szCs w:val="21"/>
              </w:rPr>
            </w:pPr>
          </w:p>
        </w:tc>
        <w:tc>
          <w:tcPr>
            <w:tcW w:w="1482" w:type="pct"/>
            <w:noWrap w:val="0"/>
            <w:vAlign w:val="center"/>
          </w:tcPr>
          <w:p w14:paraId="6C345C38">
            <w:pPr>
              <w:jc w:val="center"/>
              <w:rPr>
                <w:rFonts w:ascii="宋体" w:hAnsi="宋体" w:eastAsia="宋体" w:cs="宋体"/>
                <w:color w:val="auto"/>
                <w:szCs w:val="21"/>
              </w:rPr>
            </w:pPr>
            <w:r>
              <w:rPr>
                <w:rFonts w:hint="eastAsia" w:ascii="宋体" w:hAnsi="宋体" w:eastAsia="宋体" w:cs="宋体"/>
                <w:color w:val="auto"/>
                <w:szCs w:val="21"/>
              </w:rPr>
              <w:t>多维聚合分析</w:t>
            </w:r>
          </w:p>
        </w:tc>
        <w:tc>
          <w:tcPr>
            <w:tcW w:w="1379" w:type="pct"/>
            <w:noWrap w:val="0"/>
            <w:vAlign w:val="center"/>
          </w:tcPr>
          <w:p w14:paraId="0DBD39F6">
            <w:pPr>
              <w:jc w:val="center"/>
              <w:rPr>
                <w:rFonts w:ascii="宋体" w:hAnsi="宋体" w:eastAsia="宋体" w:cs="宋体"/>
                <w:color w:val="auto"/>
                <w:szCs w:val="21"/>
              </w:rPr>
            </w:pPr>
            <w:r>
              <w:rPr>
                <w:rFonts w:hint="eastAsia" w:ascii="宋体" w:hAnsi="宋体" w:eastAsia="宋体" w:cs="宋体"/>
                <w:color w:val="auto"/>
                <w:szCs w:val="21"/>
              </w:rPr>
              <w:t>2</w:t>
            </w:r>
          </w:p>
        </w:tc>
      </w:tr>
      <w:tr w14:paraId="1BF5A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655" w:type="pct"/>
            <w:vMerge w:val="continue"/>
            <w:noWrap w:val="0"/>
            <w:vAlign w:val="center"/>
          </w:tcPr>
          <w:p w14:paraId="0F253192">
            <w:pPr>
              <w:jc w:val="center"/>
              <w:rPr>
                <w:rFonts w:ascii="宋体" w:hAnsi="宋体" w:eastAsia="宋体" w:cs="宋体"/>
                <w:color w:val="auto"/>
                <w:szCs w:val="21"/>
              </w:rPr>
            </w:pPr>
          </w:p>
        </w:tc>
        <w:tc>
          <w:tcPr>
            <w:tcW w:w="831" w:type="pct"/>
            <w:vMerge w:val="continue"/>
            <w:noWrap w:val="0"/>
            <w:vAlign w:val="center"/>
          </w:tcPr>
          <w:p w14:paraId="255E4660">
            <w:pPr>
              <w:jc w:val="center"/>
              <w:rPr>
                <w:rFonts w:ascii="宋体" w:hAnsi="宋体" w:eastAsia="宋体" w:cs="宋体"/>
                <w:color w:val="auto"/>
                <w:szCs w:val="21"/>
              </w:rPr>
            </w:pPr>
          </w:p>
        </w:tc>
        <w:tc>
          <w:tcPr>
            <w:tcW w:w="650" w:type="pct"/>
            <w:vMerge w:val="continue"/>
            <w:noWrap w:val="0"/>
            <w:vAlign w:val="center"/>
          </w:tcPr>
          <w:p w14:paraId="3AA89F00">
            <w:pPr>
              <w:jc w:val="center"/>
              <w:rPr>
                <w:rFonts w:ascii="宋体" w:hAnsi="宋体" w:eastAsia="宋体" w:cs="宋体"/>
                <w:color w:val="auto"/>
                <w:szCs w:val="21"/>
              </w:rPr>
            </w:pPr>
          </w:p>
        </w:tc>
        <w:tc>
          <w:tcPr>
            <w:tcW w:w="1482" w:type="pct"/>
            <w:noWrap w:val="0"/>
            <w:vAlign w:val="center"/>
          </w:tcPr>
          <w:p w14:paraId="70C57BB7">
            <w:pPr>
              <w:jc w:val="center"/>
              <w:rPr>
                <w:rFonts w:ascii="宋体" w:hAnsi="宋体" w:eastAsia="宋体" w:cs="宋体"/>
                <w:color w:val="auto"/>
                <w:szCs w:val="21"/>
              </w:rPr>
            </w:pPr>
            <w:r>
              <w:rPr>
                <w:rFonts w:hint="eastAsia" w:ascii="宋体" w:hAnsi="宋体" w:eastAsia="宋体" w:cs="宋体"/>
                <w:color w:val="auto"/>
                <w:szCs w:val="21"/>
              </w:rPr>
              <w:t>境外围栏</w:t>
            </w:r>
          </w:p>
        </w:tc>
        <w:tc>
          <w:tcPr>
            <w:tcW w:w="1379" w:type="pct"/>
            <w:noWrap w:val="0"/>
            <w:vAlign w:val="center"/>
          </w:tcPr>
          <w:p w14:paraId="0E463F5A">
            <w:pPr>
              <w:jc w:val="center"/>
              <w:rPr>
                <w:rFonts w:ascii="宋体" w:hAnsi="宋体" w:eastAsia="宋体" w:cs="宋体"/>
                <w:color w:val="auto"/>
                <w:szCs w:val="21"/>
              </w:rPr>
            </w:pPr>
            <w:r>
              <w:rPr>
                <w:rFonts w:hint="eastAsia" w:ascii="宋体" w:hAnsi="宋体" w:eastAsia="宋体" w:cs="宋体"/>
                <w:color w:val="auto"/>
                <w:szCs w:val="21"/>
              </w:rPr>
              <w:t>2</w:t>
            </w:r>
          </w:p>
        </w:tc>
      </w:tr>
      <w:tr w14:paraId="2BE7F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655" w:type="pct"/>
            <w:vMerge w:val="continue"/>
            <w:noWrap w:val="0"/>
            <w:vAlign w:val="center"/>
          </w:tcPr>
          <w:p w14:paraId="32C296A9">
            <w:pPr>
              <w:tabs>
                <w:tab w:val="left" w:pos="1020"/>
              </w:tabs>
              <w:jc w:val="center"/>
              <w:rPr>
                <w:rFonts w:ascii="宋体" w:hAnsi="宋体" w:eastAsia="宋体" w:cs="宋体"/>
                <w:color w:val="auto"/>
                <w:szCs w:val="21"/>
              </w:rPr>
            </w:pPr>
          </w:p>
        </w:tc>
        <w:tc>
          <w:tcPr>
            <w:tcW w:w="831" w:type="pct"/>
            <w:vMerge w:val="continue"/>
            <w:noWrap w:val="0"/>
            <w:vAlign w:val="center"/>
          </w:tcPr>
          <w:p w14:paraId="0AB0463C">
            <w:pPr>
              <w:tabs>
                <w:tab w:val="left" w:pos="1020"/>
              </w:tabs>
              <w:jc w:val="center"/>
              <w:rPr>
                <w:rFonts w:ascii="宋体" w:hAnsi="宋体" w:eastAsia="宋体" w:cs="宋体"/>
                <w:color w:val="auto"/>
                <w:szCs w:val="21"/>
              </w:rPr>
            </w:pPr>
          </w:p>
        </w:tc>
        <w:tc>
          <w:tcPr>
            <w:tcW w:w="650" w:type="pct"/>
            <w:noWrap w:val="0"/>
            <w:vAlign w:val="center"/>
          </w:tcPr>
          <w:p w14:paraId="2DA341DA">
            <w:pPr>
              <w:tabs>
                <w:tab w:val="left" w:pos="1020"/>
              </w:tabs>
              <w:jc w:val="center"/>
              <w:rPr>
                <w:rFonts w:ascii="宋体" w:hAnsi="宋体" w:eastAsia="宋体" w:cs="宋体"/>
                <w:color w:val="auto"/>
                <w:szCs w:val="21"/>
              </w:rPr>
            </w:pPr>
            <w:r>
              <w:rPr>
                <w:rFonts w:hint="eastAsia" w:ascii="宋体" w:hAnsi="宋体" w:eastAsia="宋体" w:cs="宋体"/>
                <w:color w:val="auto"/>
                <w:szCs w:val="21"/>
              </w:rPr>
              <w:t>专案服务</w:t>
            </w:r>
          </w:p>
        </w:tc>
        <w:tc>
          <w:tcPr>
            <w:tcW w:w="1482" w:type="pct"/>
            <w:noWrap w:val="0"/>
            <w:vAlign w:val="center"/>
          </w:tcPr>
          <w:p w14:paraId="0FE24D97">
            <w:pPr>
              <w:tabs>
                <w:tab w:val="left" w:pos="1020"/>
              </w:tabs>
              <w:jc w:val="center"/>
              <w:rPr>
                <w:rFonts w:ascii="宋体" w:hAnsi="宋体" w:eastAsia="宋体" w:cs="宋体"/>
                <w:color w:val="auto"/>
                <w:szCs w:val="21"/>
              </w:rPr>
            </w:pPr>
            <w:r>
              <w:rPr>
                <w:rFonts w:hint="eastAsia" w:ascii="宋体" w:hAnsi="宋体" w:eastAsia="宋体" w:cs="宋体"/>
                <w:color w:val="auto"/>
                <w:szCs w:val="21"/>
              </w:rPr>
              <w:t>专案服务</w:t>
            </w:r>
          </w:p>
        </w:tc>
        <w:tc>
          <w:tcPr>
            <w:tcW w:w="1379" w:type="pct"/>
            <w:noWrap w:val="0"/>
            <w:vAlign w:val="center"/>
          </w:tcPr>
          <w:p w14:paraId="3E2E4F02">
            <w:pPr>
              <w:widowControl/>
              <w:jc w:val="center"/>
              <w:rPr>
                <w:rFonts w:ascii="宋体" w:hAnsi="宋体" w:eastAsia="宋体" w:cs="宋体"/>
                <w:color w:val="auto"/>
                <w:szCs w:val="21"/>
              </w:rPr>
            </w:pPr>
            <w:r>
              <w:rPr>
                <w:rFonts w:hint="eastAsia" w:ascii="宋体" w:hAnsi="宋体" w:eastAsia="宋体" w:cs="宋体"/>
                <w:color w:val="auto"/>
                <w:szCs w:val="21"/>
              </w:rPr>
              <w:t>1</w:t>
            </w:r>
          </w:p>
        </w:tc>
      </w:tr>
      <w:tr w14:paraId="008D7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55" w:type="pct"/>
            <w:vMerge w:val="continue"/>
            <w:noWrap w:val="0"/>
            <w:vAlign w:val="center"/>
          </w:tcPr>
          <w:p w14:paraId="47F49F95">
            <w:pPr>
              <w:widowControl/>
              <w:jc w:val="center"/>
              <w:rPr>
                <w:rFonts w:ascii="宋体" w:hAnsi="宋体" w:eastAsia="宋体" w:cs="宋体"/>
                <w:color w:val="auto"/>
                <w:szCs w:val="21"/>
              </w:rPr>
            </w:pPr>
          </w:p>
        </w:tc>
        <w:tc>
          <w:tcPr>
            <w:tcW w:w="831" w:type="pct"/>
            <w:vMerge w:val="continue"/>
            <w:noWrap w:val="0"/>
            <w:vAlign w:val="center"/>
          </w:tcPr>
          <w:p w14:paraId="60D60265">
            <w:pPr>
              <w:widowControl/>
              <w:jc w:val="center"/>
              <w:rPr>
                <w:rFonts w:ascii="宋体" w:hAnsi="宋体" w:eastAsia="宋体" w:cs="宋体"/>
                <w:color w:val="auto"/>
                <w:szCs w:val="21"/>
              </w:rPr>
            </w:pPr>
          </w:p>
        </w:tc>
        <w:tc>
          <w:tcPr>
            <w:tcW w:w="650" w:type="pct"/>
            <w:noWrap w:val="0"/>
            <w:vAlign w:val="center"/>
          </w:tcPr>
          <w:p w14:paraId="0B05C52D">
            <w:pPr>
              <w:widowControl/>
              <w:jc w:val="center"/>
              <w:rPr>
                <w:rFonts w:ascii="宋体" w:hAnsi="宋体" w:eastAsia="宋体" w:cs="宋体"/>
                <w:color w:val="auto"/>
                <w:szCs w:val="21"/>
              </w:rPr>
            </w:pPr>
            <w:r>
              <w:rPr>
                <w:rFonts w:hint="eastAsia" w:ascii="宋体" w:hAnsi="宋体" w:eastAsia="宋体" w:cs="宋体"/>
                <w:color w:val="auto"/>
                <w:szCs w:val="21"/>
              </w:rPr>
              <w:t>后台管理</w:t>
            </w:r>
          </w:p>
        </w:tc>
        <w:tc>
          <w:tcPr>
            <w:tcW w:w="1482" w:type="pct"/>
            <w:noWrap w:val="0"/>
            <w:vAlign w:val="center"/>
          </w:tcPr>
          <w:p w14:paraId="754278C6">
            <w:pPr>
              <w:widowControl/>
              <w:jc w:val="center"/>
              <w:rPr>
                <w:rFonts w:ascii="宋体" w:hAnsi="宋体" w:eastAsia="宋体" w:cs="宋体"/>
                <w:color w:val="auto"/>
                <w:szCs w:val="21"/>
              </w:rPr>
            </w:pPr>
            <w:r>
              <w:rPr>
                <w:rFonts w:hint="eastAsia" w:ascii="宋体" w:hAnsi="宋体" w:eastAsia="宋体" w:cs="宋体"/>
                <w:color w:val="auto"/>
                <w:szCs w:val="21"/>
              </w:rPr>
              <w:t>后台管理</w:t>
            </w:r>
          </w:p>
        </w:tc>
        <w:tc>
          <w:tcPr>
            <w:tcW w:w="1379" w:type="pct"/>
            <w:noWrap w:val="0"/>
            <w:vAlign w:val="center"/>
          </w:tcPr>
          <w:p w14:paraId="3D0EAEB4">
            <w:pPr>
              <w:widowControl/>
              <w:jc w:val="center"/>
              <w:rPr>
                <w:rFonts w:ascii="宋体" w:hAnsi="宋体" w:eastAsia="宋体" w:cs="宋体"/>
                <w:color w:val="auto"/>
                <w:szCs w:val="21"/>
              </w:rPr>
            </w:pPr>
            <w:r>
              <w:rPr>
                <w:rFonts w:hint="eastAsia" w:ascii="宋体" w:hAnsi="宋体" w:eastAsia="宋体" w:cs="宋体"/>
                <w:color w:val="auto"/>
                <w:szCs w:val="21"/>
              </w:rPr>
              <w:t>2</w:t>
            </w:r>
          </w:p>
        </w:tc>
      </w:tr>
      <w:tr w14:paraId="71A45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655" w:type="pct"/>
            <w:vMerge w:val="continue"/>
            <w:noWrap w:val="0"/>
            <w:vAlign w:val="center"/>
          </w:tcPr>
          <w:p w14:paraId="45D102F7">
            <w:pPr>
              <w:widowControl/>
              <w:jc w:val="center"/>
              <w:rPr>
                <w:rFonts w:ascii="宋体" w:hAnsi="宋体" w:eastAsia="宋体" w:cs="宋体"/>
                <w:color w:val="auto"/>
                <w:szCs w:val="21"/>
              </w:rPr>
            </w:pPr>
          </w:p>
        </w:tc>
        <w:tc>
          <w:tcPr>
            <w:tcW w:w="831" w:type="pct"/>
            <w:vMerge w:val="continue"/>
            <w:noWrap w:val="0"/>
            <w:vAlign w:val="center"/>
          </w:tcPr>
          <w:p w14:paraId="37272800">
            <w:pPr>
              <w:widowControl/>
              <w:jc w:val="center"/>
              <w:rPr>
                <w:rFonts w:ascii="宋体" w:hAnsi="宋体" w:eastAsia="宋体" w:cs="宋体"/>
                <w:color w:val="auto"/>
                <w:szCs w:val="21"/>
              </w:rPr>
            </w:pPr>
          </w:p>
        </w:tc>
        <w:tc>
          <w:tcPr>
            <w:tcW w:w="650" w:type="pct"/>
            <w:noWrap w:val="0"/>
            <w:vAlign w:val="center"/>
          </w:tcPr>
          <w:p w14:paraId="19B0F94D">
            <w:pPr>
              <w:widowControl/>
              <w:jc w:val="center"/>
              <w:rPr>
                <w:rFonts w:ascii="宋体" w:hAnsi="宋体" w:eastAsia="宋体" w:cs="宋体"/>
                <w:color w:val="auto"/>
                <w:szCs w:val="21"/>
              </w:rPr>
            </w:pPr>
            <w:r>
              <w:rPr>
                <w:rFonts w:hint="eastAsia" w:ascii="宋体" w:hAnsi="宋体" w:eastAsia="宋体" w:cs="宋体"/>
                <w:color w:val="auto"/>
                <w:szCs w:val="21"/>
              </w:rPr>
              <w:t>安全管理</w:t>
            </w:r>
          </w:p>
        </w:tc>
        <w:tc>
          <w:tcPr>
            <w:tcW w:w="1482" w:type="pct"/>
            <w:noWrap w:val="0"/>
            <w:vAlign w:val="center"/>
          </w:tcPr>
          <w:p w14:paraId="1DF58C9B">
            <w:pPr>
              <w:widowControl/>
              <w:jc w:val="center"/>
              <w:rPr>
                <w:rFonts w:ascii="宋体" w:hAnsi="宋体" w:eastAsia="宋体" w:cs="宋体"/>
                <w:color w:val="auto"/>
                <w:szCs w:val="21"/>
              </w:rPr>
            </w:pPr>
            <w:r>
              <w:rPr>
                <w:rFonts w:hint="eastAsia" w:ascii="宋体" w:hAnsi="宋体" w:eastAsia="宋体" w:cs="宋体"/>
                <w:color w:val="auto"/>
                <w:szCs w:val="21"/>
              </w:rPr>
              <w:t>安全管理</w:t>
            </w:r>
          </w:p>
        </w:tc>
        <w:tc>
          <w:tcPr>
            <w:tcW w:w="1379" w:type="pct"/>
            <w:noWrap w:val="0"/>
            <w:vAlign w:val="center"/>
          </w:tcPr>
          <w:p w14:paraId="2BF728D3">
            <w:pPr>
              <w:widowControl/>
              <w:jc w:val="center"/>
              <w:rPr>
                <w:rFonts w:ascii="宋体" w:hAnsi="宋体" w:eastAsia="宋体" w:cs="宋体"/>
                <w:color w:val="auto"/>
                <w:szCs w:val="21"/>
              </w:rPr>
            </w:pPr>
            <w:r>
              <w:rPr>
                <w:rFonts w:hint="eastAsia" w:ascii="宋体" w:hAnsi="宋体" w:eastAsia="宋体" w:cs="宋体"/>
                <w:color w:val="auto"/>
                <w:szCs w:val="21"/>
              </w:rPr>
              <w:t>2</w:t>
            </w:r>
          </w:p>
        </w:tc>
      </w:tr>
    </w:tbl>
    <w:p w14:paraId="12714C12">
      <w:pPr>
        <w:pStyle w:val="199"/>
        <w:widowControl/>
        <w:spacing w:line="360" w:lineRule="auto"/>
        <w:ind w:firstLine="422"/>
        <w:jc w:val="left"/>
        <w:rPr>
          <w:rFonts w:ascii="宋体" w:hAnsi="宋体" w:cs="宋体"/>
          <w:b/>
          <w:color w:val="auto"/>
          <w:szCs w:val="21"/>
        </w:rPr>
      </w:pPr>
    </w:p>
    <w:p w14:paraId="7C548D65">
      <w:pPr>
        <w:pStyle w:val="199"/>
        <w:widowControl/>
        <w:spacing w:line="360" w:lineRule="auto"/>
        <w:ind w:firstLine="422"/>
        <w:jc w:val="left"/>
        <w:rPr>
          <w:rFonts w:ascii="宋体" w:hAnsi="宋体" w:cs="宋体"/>
          <w:b/>
          <w:color w:val="auto"/>
          <w:szCs w:val="21"/>
        </w:rPr>
      </w:pPr>
      <w:r>
        <w:rPr>
          <w:rFonts w:hint="eastAsia" w:ascii="宋体" w:hAnsi="宋体" w:cs="宋体"/>
          <w:b/>
          <w:color w:val="auto"/>
          <w:szCs w:val="21"/>
        </w:rPr>
        <w:t>备注：查询次数无限制</w:t>
      </w:r>
    </w:p>
    <w:p w14:paraId="6C0BE7D3">
      <w:pPr>
        <w:pStyle w:val="199"/>
        <w:widowControl/>
        <w:spacing w:line="360" w:lineRule="auto"/>
        <w:ind w:firstLine="422"/>
        <w:jc w:val="left"/>
        <w:rPr>
          <w:rFonts w:ascii="宋体" w:hAnsi="宋体" w:cs="宋体"/>
          <w:b/>
          <w:color w:val="auto"/>
          <w:szCs w:val="21"/>
        </w:rPr>
      </w:pPr>
      <w:r>
        <w:rPr>
          <w:rFonts w:hint="eastAsia" w:ascii="宋体" w:hAnsi="宋体" w:cs="宋体"/>
          <w:b/>
          <w:color w:val="auto"/>
          <w:szCs w:val="21"/>
        </w:rPr>
        <w:t>二、售后服务要求</w:t>
      </w:r>
    </w:p>
    <w:p w14:paraId="26162661">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★1.中标人应提供售后服务承诺书、联系人和联系电话，能够长期提供良好的技术支持。</w:t>
      </w:r>
    </w:p>
    <w:p w14:paraId="6427EBEF">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★2.服务响应时间要求：提供7×24小时电话响应服务，响应时间为1小时。</w:t>
      </w:r>
    </w:p>
    <w:p w14:paraId="7AEEF674">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★3.中标人应能提供多种形式的技术支持服务，解决软件出现的技术问题。</w:t>
      </w:r>
    </w:p>
    <w:p w14:paraId="03E0B35F">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★4.投标人应按其投标文件中的承诺，进行其他售后服务工作。</w:t>
      </w:r>
    </w:p>
    <w:p w14:paraId="5240FE93">
      <w:pPr>
        <w:pStyle w:val="199"/>
        <w:widowControl/>
        <w:spacing w:line="360" w:lineRule="auto"/>
        <w:ind w:firstLine="422"/>
        <w:jc w:val="left"/>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说明：以上四项（标★项）为实质性要求，投标时提供以上响应承诺函加盖投标人公章（格式自拟），未提供的按未实质性响应处理。</w:t>
      </w:r>
    </w:p>
    <w:p w14:paraId="2A632CC2">
      <w:pPr>
        <w:pStyle w:val="199"/>
        <w:widowControl/>
        <w:spacing w:line="360" w:lineRule="auto"/>
        <w:ind w:firstLine="422"/>
        <w:jc w:val="left"/>
        <w:rPr>
          <w:rFonts w:ascii="宋体" w:hAnsi="宋体" w:cs="宋体"/>
          <w:b/>
          <w:color w:val="auto"/>
          <w:szCs w:val="21"/>
        </w:rPr>
      </w:pPr>
      <w:r>
        <w:rPr>
          <w:rFonts w:hint="eastAsia" w:ascii="宋体" w:hAnsi="宋体" w:cs="宋体"/>
          <w:b/>
          <w:color w:val="auto"/>
          <w:szCs w:val="21"/>
        </w:rPr>
        <w:t>三、验收说明</w:t>
      </w:r>
    </w:p>
    <w:p w14:paraId="19DDFABF">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按照招标文件规定的技术、服务等要求由采购人组织对中标人履约的验收。</w:t>
      </w:r>
    </w:p>
    <w:p w14:paraId="7653453A">
      <w:pPr>
        <w:pStyle w:val="199"/>
        <w:widowControl/>
        <w:spacing w:line="360" w:lineRule="auto"/>
        <w:ind w:firstLine="422"/>
        <w:jc w:val="left"/>
        <w:rPr>
          <w:rFonts w:ascii="宋体" w:hAnsi="宋体" w:cs="宋体"/>
          <w:b/>
          <w:color w:val="auto"/>
          <w:szCs w:val="21"/>
        </w:rPr>
      </w:pPr>
      <w:r>
        <w:rPr>
          <w:rFonts w:hint="eastAsia" w:ascii="宋体" w:hAnsi="宋体" w:cs="宋体"/>
          <w:b/>
          <w:color w:val="auto"/>
          <w:szCs w:val="21"/>
        </w:rPr>
        <w:t>四、培训要求</w:t>
      </w:r>
    </w:p>
    <w:p w14:paraId="6267B10B">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★1.投标人提供免费上门培训，有完善的培训计划，并附详细培训课程。</w:t>
      </w:r>
    </w:p>
    <w:p w14:paraId="0B1365D1">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★2.投标人提供技术资料完善，产品介绍详细，产品功能贴近实战。</w:t>
      </w:r>
    </w:p>
    <w:p w14:paraId="6FB6A60D">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★3.售后服务方案具体、详细、合理可行，可操作性强。</w:t>
      </w:r>
    </w:p>
    <w:p w14:paraId="132E682F">
      <w:pPr>
        <w:pStyle w:val="199"/>
        <w:widowControl/>
        <w:spacing w:line="360" w:lineRule="auto"/>
        <w:ind w:firstLine="422"/>
        <w:jc w:val="left"/>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说明：以上三项（标★项）为实质性要求，投标时提供以上响应服务内容并加盖投标人公章，未提供的按未实质性响应处理。</w:t>
      </w:r>
    </w:p>
    <w:p w14:paraId="5599CB95">
      <w:pPr>
        <w:pStyle w:val="199"/>
        <w:widowControl/>
        <w:spacing w:line="360" w:lineRule="auto"/>
        <w:ind w:firstLine="422"/>
        <w:jc w:val="left"/>
        <w:rPr>
          <w:rFonts w:ascii="宋体" w:hAnsi="宋体" w:cs="宋体"/>
          <w:b/>
          <w:color w:val="auto"/>
          <w:szCs w:val="21"/>
        </w:rPr>
      </w:pPr>
      <w:r>
        <w:rPr>
          <w:rFonts w:hint="eastAsia" w:ascii="宋体" w:hAnsi="宋体" w:cs="宋体"/>
          <w:b/>
          <w:color w:val="auto"/>
          <w:szCs w:val="21"/>
        </w:rPr>
        <w:t>五、其他要求</w:t>
      </w:r>
    </w:p>
    <w:p w14:paraId="09E56221">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1.每季度提供各系统各账号使用情况分析报告1份；</w:t>
      </w:r>
    </w:p>
    <w:p w14:paraId="2137EDB3">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2.服务期内盐城地区各级公安机关追加购买账号单价不高于本项目成交单价。</w:t>
      </w:r>
    </w:p>
    <w:p w14:paraId="3AD20392">
      <w:pPr>
        <w:rPr>
          <w:rFonts w:ascii="宋体" w:hAnsi="宋体" w:eastAsia="宋体" w:cs="宋体"/>
          <w:bCs/>
          <w:color w:val="auto"/>
          <w:szCs w:val="21"/>
        </w:rPr>
      </w:pPr>
      <w:r>
        <w:rPr>
          <w:rFonts w:hint="eastAsia" w:ascii="宋体" w:hAnsi="宋体" w:eastAsia="宋体" w:cs="宋体"/>
          <w:bCs/>
          <w:color w:val="auto"/>
          <w:szCs w:val="21"/>
        </w:rPr>
        <w:br w:type="page" w:clear="all"/>
      </w:r>
    </w:p>
    <w:p w14:paraId="5B4564AB">
      <w:pPr>
        <w:pStyle w:val="199"/>
        <w:widowControl/>
        <w:spacing w:line="360" w:lineRule="auto"/>
        <w:ind w:firstLine="0"/>
        <w:jc w:val="center"/>
        <w:rPr>
          <w:rFonts w:ascii="宋体" w:hAnsi="宋体" w:cs="宋体"/>
          <w:b/>
          <w:color w:val="auto"/>
          <w:szCs w:val="21"/>
        </w:rPr>
      </w:pPr>
      <w:r>
        <w:rPr>
          <w:rFonts w:hint="eastAsia" w:ascii="宋体" w:hAnsi="宋体" w:cs="宋体"/>
          <w:b/>
          <w:color w:val="auto"/>
          <w:szCs w:val="21"/>
        </w:rPr>
        <w:t>采购7包：TG查询及区块链查询服务</w:t>
      </w:r>
    </w:p>
    <w:p w14:paraId="196CF2DE">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提供2款不同的TG查询系统账号各1个以及1款区块链查询服务账号2个。</w:t>
      </w:r>
    </w:p>
    <w:p w14:paraId="7F55F6A3">
      <w:pPr>
        <w:widowControl/>
        <w:numPr>
          <w:ilvl w:val="0"/>
          <w:numId w:val="10"/>
        </w:numPr>
        <w:spacing w:line="360" w:lineRule="auto"/>
        <w:ind w:left="372" w:firstLine="46"/>
        <w:jc w:val="left"/>
        <w:rPr>
          <w:rFonts w:ascii="宋体" w:hAnsi="宋体" w:eastAsia="宋体" w:cs="宋体"/>
          <w:color w:val="auto"/>
          <w:szCs w:val="21"/>
        </w:rPr>
      </w:pPr>
      <w:r>
        <w:rPr>
          <w:rFonts w:hint="eastAsia" w:ascii="宋体" w:hAnsi="宋体" w:eastAsia="宋体" w:cs="宋体"/>
          <w:color w:val="auto"/>
          <w:szCs w:val="21"/>
        </w:rPr>
        <w:t>功能参数及主要商务条款</w:t>
      </w:r>
    </w:p>
    <w:p w14:paraId="1AA279A5">
      <w:pPr>
        <w:pStyle w:val="199"/>
        <w:widowControl/>
        <w:spacing w:line="360" w:lineRule="auto"/>
        <w:jc w:val="left"/>
        <w:rPr>
          <w:rFonts w:ascii="宋体" w:hAnsi="宋体" w:cs="宋体"/>
          <w:b/>
          <w:color w:val="auto"/>
          <w:szCs w:val="21"/>
        </w:rPr>
      </w:pPr>
      <w:r>
        <w:rPr>
          <w:rFonts w:hint="eastAsia" w:ascii="宋体" w:hAnsi="宋体" w:cs="宋体"/>
          <w:color w:val="auto"/>
          <w:szCs w:val="21"/>
          <w:shd w:val="clear" w:color="auto" w:fill="FFFFFF"/>
        </w:rPr>
        <w:t>如有需要具体功能详细说明，请与采购联系人联系</w:t>
      </w:r>
    </w:p>
    <w:p w14:paraId="7E11B6FE">
      <w:pPr>
        <w:pStyle w:val="199"/>
        <w:widowControl/>
        <w:spacing w:line="360" w:lineRule="auto"/>
        <w:ind w:firstLine="422"/>
        <w:jc w:val="left"/>
        <w:rPr>
          <w:rFonts w:ascii="宋体" w:hAnsi="宋体" w:cs="宋体"/>
          <w:b/>
          <w:color w:val="auto"/>
          <w:szCs w:val="21"/>
        </w:rPr>
      </w:pPr>
      <w:r>
        <w:rPr>
          <w:rFonts w:hint="eastAsia" w:ascii="宋体" w:hAnsi="宋体" w:cs="宋体"/>
          <w:b/>
          <w:color w:val="auto"/>
          <w:szCs w:val="21"/>
        </w:rPr>
        <w:t>A 、TG查询系统</w:t>
      </w:r>
    </w:p>
    <w:p w14:paraId="22C789B5">
      <w:pPr>
        <w:pStyle w:val="199"/>
        <w:widowControl/>
        <w:spacing w:line="360" w:lineRule="auto"/>
        <w:jc w:val="left"/>
        <w:rPr>
          <w:rFonts w:ascii="宋体" w:hAnsi="宋体" w:cs="宋体"/>
          <w:b/>
          <w:color w:val="auto"/>
          <w:szCs w:val="21"/>
        </w:rPr>
      </w:pPr>
      <w:r>
        <w:rPr>
          <w:rFonts w:hint="eastAsia" w:ascii="宋体" w:hAnsi="宋体" w:cs="宋体"/>
          <w:color w:val="auto"/>
          <w:szCs w:val="21"/>
        </w:rPr>
        <w:t>提供TG公开和半公开</w:t>
      </w:r>
      <w:r>
        <w:rPr>
          <w:rFonts w:hint="eastAsia" w:cs="宋体"/>
          <w:color w:val="auto"/>
          <w:szCs w:val="21"/>
        </w:rPr>
        <w:t>QL</w:t>
      </w:r>
      <w:r>
        <w:rPr>
          <w:rFonts w:hint="eastAsia" w:ascii="宋体" w:hAnsi="宋体" w:cs="宋体"/>
          <w:color w:val="auto"/>
          <w:szCs w:val="21"/>
        </w:rPr>
        <w:t>信息查询、id 关联、本地线索推送、重点</w:t>
      </w:r>
      <w:r>
        <w:rPr>
          <w:rFonts w:hint="eastAsia" w:cs="宋体"/>
          <w:color w:val="auto"/>
          <w:szCs w:val="21"/>
        </w:rPr>
        <w:t>QZ</w:t>
      </w:r>
      <w:r>
        <w:rPr>
          <w:rFonts w:hint="eastAsia" w:ascii="宋体" w:hAnsi="宋体" w:cs="宋体"/>
          <w:color w:val="auto"/>
          <w:szCs w:val="21"/>
        </w:rPr>
        <w:t>订阅预警等功能，要求在库可检索TG</w:t>
      </w:r>
      <w:r>
        <w:rPr>
          <w:rFonts w:hint="eastAsia" w:cs="宋体"/>
          <w:color w:val="auto"/>
          <w:szCs w:val="21"/>
        </w:rPr>
        <w:t>QZ</w:t>
      </w:r>
      <w:r>
        <w:rPr>
          <w:rFonts w:hint="eastAsia" w:ascii="宋体" w:hAnsi="宋体" w:cs="宋体"/>
          <w:color w:val="auto"/>
          <w:szCs w:val="21"/>
        </w:rPr>
        <w:t>数量不少于20万，</w:t>
      </w:r>
      <w:r>
        <w:rPr>
          <w:rFonts w:hint="eastAsia" w:cs="宋体"/>
          <w:color w:val="auto"/>
          <w:szCs w:val="21"/>
        </w:rPr>
        <w:t>LD</w:t>
      </w:r>
      <w:r>
        <w:rPr>
          <w:rFonts w:hint="eastAsia" w:ascii="宋体" w:hAnsi="宋体" w:cs="宋体"/>
          <w:color w:val="auto"/>
          <w:szCs w:val="21"/>
        </w:rPr>
        <w:t>关联数据不少于</w:t>
      </w:r>
      <w:r>
        <w:rPr>
          <w:rFonts w:hint="eastAsia" w:cs="宋体"/>
          <w:color w:val="auto"/>
          <w:szCs w:val="21"/>
        </w:rPr>
        <w:t>3</w:t>
      </w:r>
      <w:r>
        <w:rPr>
          <w:rFonts w:hint="eastAsia" w:ascii="宋体" w:hAnsi="宋体" w:cs="宋体"/>
          <w:color w:val="auto"/>
          <w:szCs w:val="21"/>
        </w:rPr>
        <w:t>亿条。</w:t>
      </w:r>
    </w:p>
    <w:tbl>
      <w:tblPr>
        <w:tblStyle w:val="35"/>
        <w:tblW w:w="5000" w:type="pct"/>
        <w:jc w:val="center"/>
        <w:tblLayout w:type="fixed"/>
        <w:tblCellMar>
          <w:top w:w="0" w:type="dxa"/>
          <w:left w:w="0" w:type="dxa"/>
          <w:bottom w:w="0" w:type="dxa"/>
          <w:right w:w="0" w:type="dxa"/>
        </w:tblCellMar>
      </w:tblPr>
      <w:tblGrid>
        <w:gridCol w:w="646"/>
        <w:gridCol w:w="6453"/>
        <w:gridCol w:w="839"/>
        <w:gridCol w:w="798"/>
      </w:tblGrid>
      <w:tr w14:paraId="6CCA5FEB">
        <w:tblPrEx>
          <w:tblCellMar>
            <w:top w:w="0" w:type="dxa"/>
            <w:left w:w="0" w:type="dxa"/>
            <w:bottom w:w="0" w:type="dxa"/>
            <w:right w:w="0" w:type="dxa"/>
          </w:tblCellMar>
        </w:tblPrEx>
        <w:trPr>
          <w:trHeight w:val="691" w:hRule="atLeast"/>
          <w:jc w:val="center"/>
        </w:trPr>
        <w:tc>
          <w:tcPr>
            <w:tcW w:w="36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3E8F7E">
            <w:pPr>
              <w:widowControl/>
              <w:jc w:val="center"/>
              <w:rPr>
                <w:rFonts w:ascii="宋体" w:hAnsi="宋体" w:eastAsia="宋体" w:cs="宋体"/>
                <w:b/>
                <w:color w:val="auto"/>
                <w:szCs w:val="21"/>
              </w:rPr>
            </w:pPr>
            <w:r>
              <w:rPr>
                <w:rFonts w:hint="eastAsia" w:ascii="宋体" w:hAnsi="宋体" w:eastAsia="宋体" w:cs="宋体"/>
                <w:b/>
                <w:color w:val="auto"/>
                <w:szCs w:val="21"/>
              </w:rPr>
              <w:t>分项名称</w:t>
            </w:r>
          </w:p>
        </w:tc>
        <w:tc>
          <w:tcPr>
            <w:tcW w:w="369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7583A3C">
            <w:pPr>
              <w:widowControl/>
              <w:jc w:val="center"/>
              <w:rPr>
                <w:rFonts w:ascii="宋体" w:hAnsi="宋体" w:eastAsia="宋体" w:cs="宋体"/>
                <w:b/>
                <w:color w:val="auto"/>
                <w:szCs w:val="21"/>
              </w:rPr>
            </w:pPr>
            <w:r>
              <w:rPr>
                <w:rFonts w:hint="eastAsia" w:ascii="宋体" w:hAnsi="宋体" w:eastAsia="宋体" w:cs="宋体"/>
                <w:b/>
                <w:color w:val="auto"/>
                <w:szCs w:val="21"/>
              </w:rPr>
              <w:t>功能说明</w:t>
            </w:r>
          </w:p>
        </w:tc>
        <w:tc>
          <w:tcPr>
            <w:tcW w:w="480"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3B729EE">
            <w:pPr>
              <w:widowControl/>
              <w:jc w:val="center"/>
              <w:rPr>
                <w:rFonts w:ascii="宋体" w:hAnsi="宋体" w:eastAsia="宋体" w:cs="宋体"/>
                <w:b/>
                <w:color w:val="auto"/>
                <w:szCs w:val="21"/>
              </w:rPr>
            </w:pPr>
            <w:r>
              <w:rPr>
                <w:rFonts w:hint="eastAsia" w:ascii="宋体" w:hAnsi="宋体" w:eastAsia="宋体" w:cs="宋体"/>
                <w:b/>
                <w:color w:val="auto"/>
                <w:szCs w:val="21"/>
              </w:rPr>
              <w:t>数量</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321BFCAD">
            <w:pPr>
              <w:widowControl/>
              <w:jc w:val="center"/>
              <w:rPr>
                <w:rFonts w:ascii="宋体" w:hAnsi="宋体" w:eastAsia="宋体" w:cs="宋体"/>
                <w:b/>
                <w:color w:val="auto"/>
                <w:szCs w:val="21"/>
              </w:rPr>
            </w:pPr>
            <w:r>
              <w:rPr>
                <w:rFonts w:hint="eastAsia" w:ascii="宋体" w:hAnsi="宋体" w:eastAsia="宋体" w:cs="宋体"/>
                <w:b/>
                <w:color w:val="auto"/>
                <w:szCs w:val="21"/>
              </w:rPr>
              <w:t>期限</w:t>
            </w:r>
          </w:p>
        </w:tc>
      </w:tr>
      <w:tr w14:paraId="62D1210E">
        <w:tblPrEx>
          <w:tblCellMar>
            <w:top w:w="0" w:type="dxa"/>
            <w:left w:w="0" w:type="dxa"/>
            <w:bottom w:w="0" w:type="dxa"/>
            <w:right w:w="0" w:type="dxa"/>
          </w:tblCellMar>
        </w:tblPrEx>
        <w:trPr>
          <w:trHeight w:val="540" w:hRule="atLeast"/>
          <w:jc w:val="center"/>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5901E594">
            <w:pPr>
              <w:widowControl/>
              <w:jc w:val="center"/>
              <w:rPr>
                <w:rFonts w:ascii="宋体" w:hAnsi="宋体" w:eastAsia="宋体" w:cs="宋体"/>
                <w:bCs/>
                <w:color w:val="auto"/>
                <w:szCs w:val="21"/>
              </w:rPr>
            </w:pPr>
            <w:r>
              <w:rPr>
                <w:rFonts w:hint="eastAsia" w:ascii="宋体" w:hAnsi="宋体" w:eastAsia="宋体" w:cs="宋体"/>
                <w:bCs/>
                <w:color w:val="auto"/>
                <w:szCs w:val="21"/>
              </w:rPr>
              <w:t>TG查询服务</w:t>
            </w:r>
          </w:p>
        </w:tc>
        <w:tc>
          <w:tcPr>
            <w:tcW w:w="369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2A543F7">
            <w:pPr>
              <w:widowControl/>
              <w:jc w:val="left"/>
              <w:rPr>
                <w:rFonts w:ascii="宋体" w:hAnsi="宋体" w:eastAsia="宋体" w:cs="宋体"/>
                <w:b/>
                <w:bCs/>
                <w:color w:val="auto"/>
                <w:szCs w:val="21"/>
              </w:rPr>
            </w:pPr>
            <w:r>
              <w:rPr>
                <w:rFonts w:hint="eastAsia" w:ascii="宋体" w:hAnsi="宋体" w:eastAsia="宋体" w:cs="宋体"/>
                <w:b/>
                <w:bCs/>
                <w:color w:val="auto"/>
                <w:szCs w:val="21"/>
              </w:rPr>
              <w:t>要求在库可检索</w:t>
            </w:r>
            <w:r>
              <w:rPr>
                <w:rFonts w:hint="eastAsia" w:cs="宋体"/>
                <w:b/>
                <w:bCs/>
                <w:color w:val="auto"/>
                <w:szCs w:val="21"/>
              </w:rPr>
              <w:t>QZ</w:t>
            </w:r>
            <w:r>
              <w:rPr>
                <w:rFonts w:hint="eastAsia" w:ascii="宋体" w:hAnsi="宋体" w:eastAsia="宋体" w:cs="宋体"/>
                <w:b/>
                <w:bCs/>
                <w:color w:val="auto"/>
                <w:szCs w:val="21"/>
              </w:rPr>
              <w:t>数量不少于20万个，境内外关联</w:t>
            </w:r>
            <w:r>
              <w:rPr>
                <w:rFonts w:hint="eastAsia" w:cs="宋体"/>
                <w:b/>
                <w:bCs/>
                <w:color w:val="auto"/>
                <w:szCs w:val="21"/>
              </w:rPr>
              <w:t>LD</w:t>
            </w:r>
            <w:r>
              <w:rPr>
                <w:rFonts w:hint="eastAsia" w:ascii="宋体" w:hAnsi="宋体" w:eastAsia="宋体" w:cs="宋体"/>
                <w:b/>
                <w:bCs/>
                <w:color w:val="auto"/>
                <w:szCs w:val="21"/>
              </w:rPr>
              <w:t>数据不少于3亿，</w:t>
            </w:r>
          </w:p>
          <w:p w14:paraId="11AFC30B">
            <w:pPr>
              <w:widowControl/>
              <w:jc w:val="left"/>
              <w:rPr>
                <w:rFonts w:ascii="宋体" w:hAnsi="宋体" w:eastAsia="宋体" w:cs="宋体"/>
                <w:b/>
                <w:bCs/>
                <w:color w:val="auto"/>
                <w:szCs w:val="21"/>
              </w:rPr>
            </w:pPr>
            <w:r>
              <w:rPr>
                <w:rFonts w:hint="eastAsia" w:ascii="宋体" w:hAnsi="宋体" w:eastAsia="宋体" w:cs="宋体"/>
                <w:b/>
                <w:bCs/>
                <w:color w:val="auto"/>
                <w:szCs w:val="21"/>
              </w:rPr>
              <w:t>产品经甲方试用并得到认可，功能具备：</w:t>
            </w:r>
          </w:p>
          <w:p w14:paraId="507AD442">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1.账号探测</w:t>
            </w:r>
          </w:p>
          <w:p w14:paraId="41FAFAE4">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1）探测任务管理</w:t>
            </w:r>
          </w:p>
          <w:p w14:paraId="207E423D">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2）探测结果查询</w:t>
            </w:r>
          </w:p>
          <w:p w14:paraId="054CA85F">
            <w:pPr>
              <w:ind w:firstLine="25"/>
              <w:jc w:val="left"/>
              <w:rPr>
                <w:rFonts w:ascii="宋体" w:hAnsi="宋体" w:eastAsia="宋体" w:cs="宋体"/>
                <w:bCs/>
                <w:color w:val="auto"/>
                <w:szCs w:val="21"/>
                <w:lang w:val="zh-CN"/>
              </w:rPr>
            </w:pPr>
            <w:r>
              <w:rPr>
                <w:rFonts w:hint="eastAsia" w:ascii="宋体" w:hAnsi="宋体" w:eastAsia="宋体" w:cs="宋体"/>
                <w:bCs/>
                <w:color w:val="auto"/>
                <w:szCs w:val="21"/>
                <w:lang w:val="zh-CN"/>
              </w:rPr>
              <w:t>2.</w:t>
            </w:r>
            <w:r>
              <w:rPr>
                <w:rFonts w:hint="eastAsia" w:cs="宋体"/>
                <w:bCs/>
                <w:color w:val="auto"/>
                <w:szCs w:val="21"/>
              </w:rPr>
              <w:t>QL</w:t>
            </w:r>
            <w:r>
              <w:rPr>
                <w:rFonts w:hint="eastAsia" w:ascii="宋体" w:hAnsi="宋体" w:eastAsia="宋体" w:cs="宋体"/>
                <w:bCs/>
                <w:color w:val="auto"/>
                <w:szCs w:val="21"/>
                <w:lang w:val="zh-CN"/>
              </w:rPr>
              <w:t>采集</w:t>
            </w:r>
          </w:p>
          <w:p w14:paraId="0762B8AE">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1）采集任务管理</w:t>
            </w:r>
          </w:p>
          <w:p w14:paraId="5C5A7800">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2）采集结果查询</w:t>
            </w:r>
          </w:p>
          <w:p w14:paraId="0CF04097">
            <w:pPr>
              <w:jc w:val="left"/>
              <w:rPr>
                <w:rFonts w:ascii="宋体" w:hAnsi="宋体" w:eastAsia="宋体" w:cs="宋体"/>
                <w:bCs/>
                <w:color w:val="auto"/>
                <w:szCs w:val="21"/>
              </w:rPr>
            </w:pPr>
            <w:r>
              <w:rPr>
                <w:rFonts w:hint="eastAsia" w:ascii="宋体" w:hAnsi="宋体" w:eastAsia="宋体" w:cs="宋体"/>
                <w:bCs/>
                <w:color w:val="auto"/>
                <w:szCs w:val="21"/>
                <w:lang w:val="zh-CN"/>
              </w:rPr>
              <w:t>3.账号</w:t>
            </w:r>
            <w:r>
              <w:rPr>
                <w:rFonts w:hint="eastAsia" w:cs="宋体"/>
                <w:bCs/>
                <w:color w:val="auto"/>
                <w:szCs w:val="21"/>
              </w:rPr>
              <w:t>LC</w:t>
            </w:r>
          </w:p>
          <w:p w14:paraId="0EAAC04D">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1）即时账号查询</w:t>
            </w:r>
          </w:p>
          <w:p w14:paraId="4EAE6586">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2）批量账号查询</w:t>
            </w:r>
          </w:p>
          <w:p w14:paraId="2BDADAD2">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3）历史任务查询</w:t>
            </w:r>
          </w:p>
          <w:p w14:paraId="4DDAA52E">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4）</w:t>
            </w:r>
            <w:r>
              <w:rPr>
                <w:rFonts w:hint="eastAsia" w:cs="宋体"/>
                <w:bCs/>
                <w:color w:val="auto"/>
                <w:szCs w:val="21"/>
              </w:rPr>
              <w:t>LC</w:t>
            </w:r>
            <w:r>
              <w:rPr>
                <w:rFonts w:hint="eastAsia" w:ascii="宋体" w:hAnsi="宋体" w:eastAsia="宋体" w:cs="宋体"/>
                <w:bCs/>
                <w:color w:val="auto"/>
                <w:szCs w:val="21"/>
                <w:lang w:val="zh-CN"/>
              </w:rPr>
              <w:t>导出功能</w:t>
            </w:r>
          </w:p>
          <w:p w14:paraId="5ABE34D9">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4.</w:t>
            </w:r>
            <w:r>
              <w:rPr>
                <w:rFonts w:hint="eastAsia" w:cs="宋体"/>
                <w:bCs/>
                <w:color w:val="auto"/>
                <w:szCs w:val="21"/>
                <w:lang w:val="zh-CN"/>
              </w:rPr>
              <w:t>QZ</w:t>
            </w:r>
            <w:r>
              <w:rPr>
                <w:rFonts w:hint="eastAsia" w:ascii="宋体" w:hAnsi="宋体" w:eastAsia="宋体" w:cs="宋体"/>
                <w:bCs/>
                <w:color w:val="auto"/>
                <w:szCs w:val="21"/>
                <w:lang w:val="zh-CN"/>
              </w:rPr>
              <w:t>分析</w:t>
            </w:r>
          </w:p>
          <w:p w14:paraId="5341CB5F">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1）</w:t>
            </w:r>
            <w:r>
              <w:rPr>
                <w:rFonts w:hint="eastAsia" w:cs="宋体"/>
                <w:bCs/>
                <w:color w:val="auto"/>
                <w:szCs w:val="21"/>
                <w:lang w:val="zh-CN"/>
              </w:rPr>
              <w:t>QZ</w:t>
            </w:r>
            <w:r>
              <w:rPr>
                <w:rFonts w:hint="eastAsia" w:ascii="宋体" w:hAnsi="宋体" w:eastAsia="宋体" w:cs="宋体"/>
                <w:bCs/>
                <w:color w:val="auto"/>
                <w:szCs w:val="21"/>
                <w:lang w:val="zh-CN"/>
              </w:rPr>
              <w:t>查询</w:t>
            </w:r>
          </w:p>
          <w:p w14:paraId="01934F06">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2）所有</w:t>
            </w:r>
            <w:r>
              <w:rPr>
                <w:rFonts w:hint="eastAsia" w:cs="宋体"/>
                <w:bCs/>
                <w:color w:val="auto"/>
                <w:szCs w:val="21"/>
                <w:lang w:val="zh-CN"/>
              </w:rPr>
              <w:t>QZ</w:t>
            </w:r>
          </w:p>
          <w:p w14:paraId="34D0B95C">
            <w:pPr>
              <w:ind w:firstLine="25"/>
              <w:jc w:val="left"/>
              <w:rPr>
                <w:rFonts w:ascii="宋体" w:hAnsi="宋体" w:eastAsia="宋体" w:cs="宋体"/>
                <w:bCs/>
                <w:color w:val="auto"/>
                <w:szCs w:val="21"/>
                <w:lang w:val="zh-CN"/>
              </w:rPr>
            </w:pPr>
            <w:r>
              <w:rPr>
                <w:rFonts w:hint="eastAsia" w:ascii="宋体" w:hAnsi="宋体" w:eastAsia="宋体" w:cs="宋体"/>
                <w:bCs/>
                <w:color w:val="auto"/>
                <w:szCs w:val="21"/>
                <w:lang w:val="zh-CN"/>
              </w:rPr>
              <w:t>5.账号画像</w:t>
            </w:r>
          </w:p>
          <w:p w14:paraId="16F80D8D">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1）基本信息</w:t>
            </w:r>
          </w:p>
          <w:p w14:paraId="5009CEF5">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2）</w:t>
            </w:r>
            <w:r>
              <w:rPr>
                <w:rFonts w:hint="eastAsia" w:cs="宋体"/>
                <w:bCs/>
                <w:color w:val="auto"/>
                <w:szCs w:val="21"/>
                <w:lang w:val="zh-CN"/>
              </w:rPr>
              <w:t>QL</w:t>
            </w:r>
            <w:r>
              <w:rPr>
                <w:rFonts w:hint="eastAsia" w:ascii="宋体" w:hAnsi="宋体" w:eastAsia="宋体" w:cs="宋体"/>
                <w:bCs/>
                <w:color w:val="auto"/>
                <w:szCs w:val="21"/>
                <w:lang w:val="zh-CN"/>
              </w:rPr>
              <w:t>记录</w:t>
            </w:r>
          </w:p>
          <w:p w14:paraId="5CACE1E4">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3）活动信息</w:t>
            </w:r>
          </w:p>
          <w:p w14:paraId="5BFF81A4">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4）多媒体内容</w:t>
            </w:r>
          </w:p>
          <w:p w14:paraId="5451B551">
            <w:pPr>
              <w:ind w:firstLine="25"/>
              <w:jc w:val="left"/>
              <w:rPr>
                <w:rFonts w:ascii="宋体" w:hAnsi="宋体" w:eastAsia="宋体" w:cs="宋体"/>
                <w:bCs/>
                <w:color w:val="auto"/>
                <w:szCs w:val="21"/>
                <w:lang w:val="zh-CN"/>
              </w:rPr>
            </w:pPr>
            <w:r>
              <w:rPr>
                <w:rFonts w:hint="eastAsia" w:ascii="宋体" w:hAnsi="宋体" w:eastAsia="宋体" w:cs="宋体"/>
                <w:bCs/>
                <w:color w:val="auto"/>
                <w:szCs w:val="21"/>
                <w:lang w:val="zh-CN"/>
              </w:rPr>
              <w:t>6.</w:t>
            </w:r>
            <w:r>
              <w:rPr>
                <w:rFonts w:hint="eastAsia" w:cs="宋体"/>
                <w:bCs/>
                <w:color w:val="auto"/>
                <w:szCs w:val="21"/>
                <w:lang w:val="zh-CN"/>
              </w:rPr>
              <w:t>QZ</w:t>
            </w:r>
            <w:r>
              <w:rPr>
                <w:rFonts w:hint="eastAsia" w:ascii="宋体" w:hAnsi="宋体" w:eastAsia="宋体" w:cs="宋体"/>
                <w:bCs/>
                <w:color w:val="auto"/>
                <w:szCs w:val="21"/>
                <w:lang w:val="zh-CN"/>
              </w:rPr>
              <w:t>画像</w:t>
            </w:r>
          </w:p>
          <w:p w14:paraId="0F6C145D">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1）</w:t>
            </w:r>
            <w:r>
              <w:rPr>
                <w:rFonts w:hint="eastAsia" w:cs="宋体"/>
                <w:bCs/>
                <w:color w:val="auto"/>
                <w:szCs w:val="21"/>
                <w:lang w:val="zh-CN"/>
              </w:rPr>
              <w:t>QZ</w:t>
            </w:r>
            <w:r>
              <w:rPr>
                <w:rFonts w:hint="eastAsia" w:ascii="宋体" w:hAnsi="宋体" w:eastAsia="宋体" w:cs="宋体"/>
                <w:bCs/>
                <w:color w:val="auto"/>
                <w:szCs w:val="21"/>
                <w:lang w:val="zh-CN"/>
              </w:rPr>
              <w:t>信息</w:t>
            </w:r>
          </w:p>
          <w:p w14:paraId="3FD9DFF3">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2）</w:t>
            </w:r>
            <w:r>
              <w:rPr>
                <w:rFonts w:hint="eastAsia" w:cs="宋体"/>
                <w:bCs/>
                <w:color w:val="auto"/>
                <w:szCs w:val="21"/>
                <w:lang w:val="zh-CN"/>
              </w:rPr>
              <w:t>QL</w:t>
            </w:r>
            <w:r>
              <w:rPr>
                <w:rFonts w:hint="eastAsia" w:ascii="宋体" w:hAnsi="宋体" w:eastAsia="宋体" w:cs="宋体"/>
                <w:bCs/>
                <w:color w:val="auto"/>
                <w:szCs w:val="21"/>
                <w:lang w:val="zh-CN"/>
              </w:rPr>
              <w:t>内容</w:t>
            </w:r>
          </w:p>
          <w:p w14:paraId="186C15BD">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3）其他信息</w:t>
            </w:r>
          </w:p>
          <w:p w14:paraId="09A83036">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7.线索发现</w:t>
            </w:r>
          </w:p>
          <w:p w14:paraId="0D939B18">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1）任务管理</w:t>
            </w:r>
          </w:p>
          <w:p w14:paraId="47B97934">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2）关键词设置</w:t>
            </w:r>
          </w:p>
          <w:p w14:paraId="64376DAD">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8.关注预警</w:t>
            </w:r>
          </w:p>
          <w:p w14:paraId="265E6C5B">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1）预警策略</w:t>
            </w:r>
          </w:p>
          <w:p w14:paraId="00677372">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2）对象管理</w:t>
            </w:r>
          </w:p>
          <w:p w14:paraId="28979916">
            <w:pPr>
              <w:jc w:val="left"/>
              <w:rPr>
                <w:rFonts w:ascii="宋体" w:hAnsi="宋体" w:eastAsia="宋体" w:cs="宋体"/>
                <w:bCs/>
                <w:color w:val="auto"/>
                <w:szCs w:val="21"/>
                <w:lang w:val="zh-CN"/>
              </w:rPr>
            </w:pPr>
            <w:r>
              <w:rPr>
                <w:rFonts w:hint="eastAsia" w:ascii="宋体" w:hAnsi="宋体" w:eastAsia="宋体" w:cs="宋体"/>
                <w:bCs/>
                <w:color w:val="auto"/>
                <w:szCs w:val="21"/>
                <w:lang w:val="zh-CN"/>
              </w:rPr>
              <w:t>3）最新预警</w:t>
            </w:r>
          </w:p>
          <w:p w14:paraId="3616CA19">
            <w:pPr>
              <w:jc w:val="left"/>
              <w:rPr>
                <w:rFonts w:ascii="宋体" w:hAnsi="宋体" w:eastAsia="宋体" w:cs="宋体"/>
                <w:bCs/>
                <w:color w:val="auto"/>
                <w:szCs w:val="21"/>
              </w:rPr>
            </w:pPr>
            <w:r>
              <w:rPr>
                <w:rFonts w:hint="eastAsia" w:ascii="宋体" w:hAnsi="宋体" w:eastAsia="宋体" w:cs="宋体"/>
                <w:bCs/>
                <w:color w:val="auto"/>
                <w:szCs w:val="21"/>
                <w:lang w:val="zh-CN"/>
              </w:rPr>
              <w:t>9.图片比对</w:t>
            </w:r>
          </w:p>
        </w:tc>
        <w:tc>
          <w:tcPr>
            <w:tcW w:w="480"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F1010F">
            <w:pPr>
              <w:widowControl/>
              <w:jc w:val="left"/>
              <w:rPr>
                <w:rFonts w:ascii="宋体" w:hAnsi="宋体" w:eastAsia="宋体" w:cs="宋体"/>
                <w:bCs/>
                <w:color w:val="auto"/>
                <w:szCs w:val="21"/>
              </w:rPr>
            </w:pPr>
            <w:r>
              <w:rPr>
                <w:rFonts w:hint="eastAsia" w:ascii="宋体" w:hAnsi="宋体" w:eastAsia="宋体" w:cs="宋体"/>
                <w:bCs/>
                <w:color w:val="auto"/>
                <w:szCs w:val="21"/>
              </w:rPr>
              <w:t>2（款）各1个</w:t>
            </w:r>
          </w:p>
          <w:p w14:paraId="359F6540">
            <w:pPr>
              <w:pStyle w:val="196"/>
              <w:ind w:firstLine="0"/>
              <w:jc w:val="left"/>
              <w:rPr>
                <w:rFonts w:ascii="宋体" w:hAnsi="宋体" w:eastAsia="宋体" w:cs="宋体"/>
                <w:color w:val="auto"/>
                <w:sz w:val="21"/>
                <w:szCs w:val="21"/>
              </w:rPr>
            </w:pPr>
            <w:r>
              <w:rPr>
                <w:rFonts w:hint="eastAsia" w:ascii="宋体" w:hAnsi="宋体" w:eastAsia="宋体" w:cs="宋体"/>
                <w:bCs/>
                <w:color w:val="auto"/>
                <w:sz w:val="21"/>
                <w:szCs w:val="21"/>
              </w:rPr>
              <w:t>（投标时需分项列出）</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1CD01E">
            <w:pPr>
              <w:widowControl/>
              <w:jc w:val="center"/>
              <w:rPr>
                <w:rFonts w:ascii="宋体" w:hAnsi="宋体" w:eastAsia="宋体" w:cs="宋体"/>
                <w:bCs/>
                <w:color w:val="auto"/>
                <w:szCs w:val="21"/>
              </w:rPr>
            </w:pPr>
            <w:r>
              <w:rPr>
                <w:rFonts w:hint="eastAsia" w:ascii="宋体" w:hAnsi="宋体" w:eastAsia="宋体" w:cs="宋体"/>
                <w:bCs/>
                <w:color w:val="auto"/>
                <w:szCs w:val="21"/>
              </w:rPr>
              <w:t>1年</w:t>
            </w:r>
          </w:p>
        </w:tc>
      </w:tr>
    </w:tbl>
    <w:p w14:paraId="685D9DBA">
      <w:pPr>
        <w:pStyle w:val="199"/>
        <w:spacing w:line="360" w:lineRule="auto"/>
        <w:ind w:firstLine="422"/>
        <w:rPr>
          <w:rFonts w:ascii="宋体" w:hAnsi="宋体" w:cs="宋体"/>
          <w:b/>
          <w:color w:val="auto"/>
          <w:szCs w:val="21"/>
        </w:rPr>
      </w:pPr>
    </w:p>
    <w:p w14:paraId="3FD19165">
      <w:pPr>
        <w:pStyle w:val="199"/>
        <w:spacing w:line="360" w:lineRule="auto"/>
        <w:ind w:firstLine="422"/>
        <w:rPr>
          <w:rFonts w:ascii="宋体" w:hAnsi="宋体" w:cs="宋体"/>
          <w:b/>
          <w:color w:val="auto"/>
          <w:szCs w:val="21"/>
        </w:rPr>
      </w:pPr>
      <w:r>
        <w:rPr>
          <w:rFonts w:hint="eastAsia" w:ascii="宋体" w:hAnsi="宋体" w:cs="宋体"/>
          <w:b/>
          <w:color w:val="auto"/>
          <w:szCs w:val="21"/>
        </w:rPr>
        <w:t>B、类似（链必追）区块链查询服务</w:t>
      </w:r>
    </w:p>
    <w:p w14:paraId="6669B805">
      <w:pPr>
        <w:pStyle w:val="199"/>
        <w:spacing w:line="360" w:lineRule="auto"/>
        <w:rPr>
          <w:rFonts w:ascii="宋体" w:hAnsi="宋体" w:cs="宋体"/>
          <w:bCs/>
          <w:color w:val="auto"/>
          <w:szCs w:val="21"/>
        </w:rPr>
      </w:pPr>
      <w:r>
        <w:rPr>
          <w:rFonts w:hint="eastAsia" w:ascii="宋体" w:hAnsi="宋体" w:cs="宋体"/>
          <w:bCs/>
          <w:color w:val="auto"/>
          <w:szCs w:val="21"/>
        </w:rPr>
        <w:t>提供包含1-22项功能的</w:t>
      </w:r>
      <w:r>
        <w:rPr>
          <w:rFonts w:hint="eastAsia" w:ascii="宋体" w:hAnsi="宋体" w:cs="宋体"/>
          <w:b/>
          <w:color w:val="auto"/>
          <w:szCs w:val="21"/>
        </w:rPr>
        <w:t>基础账号1个</w:t>
      </w:r>
      <w:r>
        <w:rPr>
          <w:rFonts w:hint="eastAsia" w:ascii="宋体" w:hAnsi="宋体" w:cs="宋体"/>
          <w:bCs/>
          <w:color w:val="auto"/>
          <w:szCs w:val="21"/>
        </w:rPr>
        <w:t>以及包含全部功能的</w:t>
      </w:r>
      <w:r>
        <w:rPr>
          <w:rFonts w:hint="eastAsia" w:ascii="宋体" w:hAnsi="宋体" w:cs="宋体"/>
          <w:b/>
          <w:color w:val="auto"/>
          <w:szCs w:val="21"/>
        </w:rPr>
        <w:t>研判账号1个</w:t>
      </w:r>
    </w:p>
    <w:tbl>
      <w:tblPr>
        <w:tblStyle w:val="36"/>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9"/>
        <w:gridCol w:w="6525"/>
        <w:gridCol w:w="930"/>
        <w:gridCol w:w="723"/>
      </w:tblGrid>
      <w:tr w14:paraId="5B81D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5" w:type="pct"/>
            <w:noWrap w:val="0"/>
            <w:vAlign w:val="center"/>
          </w:tcPr>
          <w:p w14:paraId="4A52A073">
            <w:pPr>
              <w:pStyle w:val="199"/>
              <w:ind w:firstLine="0"/>
              <w:jc w:val="center"/>
              <w:rPr>
                <w:rFonts w:ascii="宋体" w:hAnsi="宋体" w:cs="宋体"/>
                <w:b/>
                <w:color w:val="auto"/>
                <w:szCs w:val="21"/>
              </w:rPr>
            </w:pPr>
            <w:r>
              <w:rPr>
                <w:rFonts w:hint="eastAsia"/>
                <w:b/>
                <w:bCs/>
                <w:color w:val="auto"/>
              </w:rPr>
              <w:t>分项名称</w:t>
            </w:r>
          </w:p>
        </w:tc>
        <w:tc>
          <w:tcPr>
            <w:tcW w:w="3657" w:type="pct"/>
            <w:noWrap w:val="0"/>
            <w:vAlign w:val="center"/>
          </w:tcPr>
          <w:p w14:paraId="1384619C">
            <w:pPr>
              <w:pStyle w:val="199"/>
              <w:spacing w:line="360" w:lineRule="auto"/>
              <w:ind w:firstLine="0"/>
              <w:jc w:val="center"/>
              <w:rPr>
                <w:rFonts w:ascii="宋体" w:hAnsi="宋体" w:cs="宋体"/>
                <w:b/>
                <w:color w:val="auto"/>
                <w:szCs w:val="21"/>
              </w:rPr>
            </w:pPr>
            <w:r>
              <w:rPr>
                <w:rFonts w:hint="eastAsia" w:ascii="宋体" w:hAnsi="宋体" w:cs="宋体"/>
                <w:b/>
                <w:color w:val="auto"/>
                <w:szCs w:val="21"/>
              </w:rPr>
              <w:t>参数</w:t>
            </w:r>
          </w:p>
        </w:tc>
        <w:tc>
          <w:tcPr>
            <w:tcW w:w="521" w:type="pct"/>
            <w:noWrap w:val="0"/>
            <w:vAlign w:val="center"/>
          </w:tcPr>
          <w:p w14:paraId="6EA7B783">
            <w:pPr>
              <w:pStyle w:val="199"/>
              <w:spacing w:line="360" w:lineRule="auto"/>
              <w:ind w:firstLine="0"/>
              <w:jc w:val="center"/>
              <w:rPr>
                <w:rFonts w:ascii="宋体" w:hAnsi="宋体" w:cs="宋体"/>
                <w:b/>
                <w:color w:val="auto"/>
                <w:szCs w:val="21"/>
              </w:rPr>
            </w:pPr>
            <w:r>
              <w:rPr>
                <w:rFonts w:hint="eastAsia" w:ascii="宋体" w:hAnsi="宋体" w:cs="宋体"/>
                <w:b/>
                <w:color w:val="auto"/>
                <w:szCs w:val="21"/>
              </w:rPr>
              <w:t>数量</w:t>
            </w:r>
          </w:p>
        </w:tc>
        <w:tc>
          <w:tcPr>
            <w:tcW w:w="405" w:type="pct"/>
            <w:noWrap w:val="0"/>
            <w:vAlign w:val="center"/>
          </w:tcPr>
          <w:p w14:paraId="0339B947">
            <w:pPr>
              <w:pStyle w:val="199"/>
              <w:spacing w:line="360" w:lineRule="auto"/>
              <w:ind w:firstLine="0"/>
              <w:jc w:val="center"/>
              <w:rPr>
                <w:rFonts w:ascii="宋体" w:hAnsi="宋体" w:cs="宋体"/>
                <w:b/>
                <w:color w:val="auto"/>
                <w:szCs w:val="21"/>
              </w:rPr>
            </w:pPr>
            <w:r>
              <w:rPr>
                <w:rFonts w:hint="eastAsia" w:ascii="宋体" w:hAnsi="宋体" w:cs="宋体"/>
                <w:b/>
                <w:color w:val="auto"/>
                <w:szCs w:val="21"/>
              </w:rPr>
              <w:t>期限</w:t>
            </w:r>
          </w:p>
        </w:tc>
      </w:tr>
      <w:tr w14:paraId="7A4C2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5" w:type="pct"/>
            <w:noWrap w:val="0"/>
            <w:vAlign w:val="center"/>
          </w:tcPr>
          <w:p w14:paraId="7AB17C52">
            <w:pPr>
              <w:jc w:val="center"/>
              <w:rPr>
                <w:rFonts w:ascii="宋体" w:hAnsi="宋体" w:eastAsia="宋体" w:cs="宋体"/>
                <w:color w:val="auto"/>
                <w:spacing w:val="11"/>
                <w:szCs w:val="21"/>
              </w:rPr>
            </w:pPr>
            <w:r>
              <w:rPr>
                <w:rFonts w:hint="eastAsia" w:ascii="宋体" w:hAnsi="宋体" w:eastAsia="宋体" w:cs="宋体"/>
                <w:color w:val="auto"/>
                <w:spacing w:val="11"/>
                <w:szCs w:val="21"/>
              </w:rPr>
              <w:t>类似（链必追）区块链查询服务</w:t>
            </w:r>
          </w:p>
        </w:tc>
        <w:tc>
          <w:tcPr>
            <w:tcW w:w="3657" w:type="pct"/>
            <w:noWrap w:val="0"/>
          </w:tcPr>
          <w:p w14:paraId="21743902">
            <w:pPr>
              <w:numPr>
                <w:ilvl w:val="0"/>
                <w:numId w:val="11"/>
              </w:numPr>
              <w:rPr>
                <w:rFonts w:ascii="宋体" w:hAnsi="宋体" w:eastAsia="宋体" w:cs="宋体"/>
                <w:color w:val="auto"/>
                <w:szCs w:val="21"/>
              </w:rPr>
            </w:pPr>
            <w:r>
              <w:rPr>
                <w:rFonts w:hint="eastAsia" w:ascii="宋体" w:hAnsi="宋体" w:eastAsia="宋体" w:cs="宋体"/>
                <w:color w:val="auto"/>
                <w:szCs w:val="21"/>
              </w:rPr>
              <w:t>支持多链全量地址交易明细查询，8 大公链全面覆盖。地址资金画像，交易流水一键导出等,可以快速确定地址正确性。</w:t>
            </w:r>
          </w:p>
          <w:p w14:paraId="77C4D8E9">
            <w:pPr>
              <w:numPr>
                <w:ilvl w:val="0"/>
                <w:numId w:val="11"/>
              </w:numPr>
              <w:rPr>
                <w:rFonts w:ascii="宋体" w:hAnsi="宋体" w:eastAsia="宋体" w:cs="宋体"/>
                <w:color w:val="auto"/>
                <w:szCs w:val="21"/>
              </w:rPr>
            </w:pPr>
            <w:r>
              <w:rPr>
                <w:rFonts w:hint="eastAsia" w:ascii="宋体" w:hAnsi="宋体" w:eastAsia="宋体" w:cs="宋体"/>
                <w:color w:val="auto"/>
                <w:spacing w:val="6"/>
                <w:szCs w:val="21"/>
              </w:rPr>
              <w:t>支持针对单个地址多链、多币种资金链路进行完整追踪和溯源，快速定位可</w:t>
            </w:r>
            <w:r>
              <w:rPr>
                <w:rFonts w:hint="eastAsia" w:ascii="宋体" w:hAnsi="宋体" w:eastAsia="宋体" w:cs="宋体"/>
                <w:color w:val="auto"/>
                <w:spacing w:val="13"/>
                <w:szCs w:val="21"/>
              </w:rPr>
              <w:t>调证交易所和钱包地址，智能解析兑币、跨链实现同图穿透追踪。</w:t>
            </w:r>
            <w:r>
              <w:rPr>
                <w:rFonts w:hint="eastAsia" w:ascii="宋体" w:hAnsi="宋体" w:eastAsia="宋体" w:cs="宋体"/>
                <w:b/>
                <w:bCs/>
                <w:color w:val="auto"/>
                <w:spacing w:val="13"/>
                <w:szCs w:val="21"/>
              </w:rPr>
              <w:t>支持</w:t>
            </w:r>
            <w:r>
              <w:rPr>
                <w:rFonts w:hint="eastAsia" w:ascii="宋体" w:hAnsi="宋体" w:eastAsia="宋体" w:cs="宋体"/>
                <w:b/>
                <w:bCs/>
                <w:color w:val="auto"/>
                <w:szCs w:val="21"/>
              </w:rPr>
              <w:t>AI</w:t>
            </w:r>
            <w:r>
              <w:rPr>
                <w:rFonts w:hint="eastAsia" w:ascii="宋体" w:hAnsi="宋体" w:eastAsia="宋体" w:cs="宋体"/>
                <w:b/>
                <w:bCs/>
                <w:color w:val="auto"/>
                <w:spacing w:val="7"/>
                <w:szCs w:val="21"/>
              </w:rPr>
              <w:t>研判</w:t>
            </w:r>
            <w:r>
              <w:rPr>
                <w:rFonts w:hint="eastAsia" w:ascii="宋体" w:hAnsi="宋体" w:eastAsia="宋体" w:cs="宋体"/>
                <w:color w:val="auto"/>
                <w:spacing w:val="7"/>
                <w:szCs w:val="21"/>
              </w:rPr>
              <w:t>，对单个地址的交易流水进行多维度分析，实现地址特性判</w:t>
            </w:r>
            <w:r>
              <w:rPr>
                <w:rFonts w:hint="eastAsia" w:ascii="宋体" w:hAnsi="宋体" w:eastAsia="宋体" w:cs="宋体"/>
                <w:color w:val="auto"/>
                <w:spacing w:val="6"/>
                <w:szCs w:val="21"/>
              </w:rPr>
              <w:t>断、异常行</w:t>
            </w:r>
            <w:r>
              <w:rPr>
                <w:rFonts w:hint="eastAsia" w:ascii="宋体" w:hAnsi="宋体" w:eastAsia="宋体" w:cs="宋体"/>
                <w:color w:val="auto"/>
                <w:spacing w:val="9"/>
                <w:szCs w:val="21"/>
              </w:rPr>
              <w:t>为特征识别，并提供建议研判方向。</w:t>
            </w:r>
          </w:p>
          <w:p w14:paraId="6278B72F">
            <w:pPr>
              <w:numPr>
                <w:ilvl w:val="0"/>
                <w:numId w:val="11"/>
              </w:numPr>
              <w:rPr>
                <w:rFonts w:ascii="宋体" w:hAnsi="宋体" w:eastAsia="宋体" w:cs="宋体"/>
                <w:color w:val="auto"/>
                <w:szCs w:val="21"/>
              </w:rPr>
            </w:pPr>
            <w:r>
              <w:rPr>
                <w:rFonts w:hint="eastAsia" w:ascii="宋体" w:hAnsi="宋体" w:eastAsia="宋体" w:cs="宋体"/>
                <w:color w:val="auto"/>
                <w:spacing w:val="7"/>
                <w:szCs w:val="21"/>
              </w:rPr>
              <w:t>可同时输入</w:t>
            </w:r>
            <w:r>
              <w:rPr>
                <w:rFonts w:hint="eastAsia" w:ascii="宋体" w:hAnsi="宋体" w:eastAsia="宋体" w:cs="宋体"/>
                <w:b/>
                <w:bCs/>
                <w:color w:val="auto"/>
                <w:spacing w:val="7"/>
                <w:szCs w:val="21"/>
              </w:rPr>
              <w:t>多个涉案地址</w:t>
            </w:r>
            <w:r>
              <w:rPr>
                <w:rFonts w:hint="eastAsia" w:ascii="宋体" w:hAnsi="宋体" w:eastAsia="宋体" w:cs="宋体"/>
                <w:color w:val="auto"/>
                <w:spacing w:val="7"/>
                <w:szCs w:val="21"/>
              </w:rPr>
              <w:t>，</w:t>
            </w:r>
            <w:r>
              <w:rPr>
                <w:rFonts w:hint="eastAsia" w:ascii="宋体" w:hAnsi="宋体" w:eastAsia="宋体" w:cs="宋体"/>
                <w:b/>
                <w:bCs/>
                <w:color w:val="auto"/>
                <w:spacing w:val="7"/>
                <w:szCs w:val="21"/>
              </w:rPr>
              <w:t>提供完整图形化</w:t>
            </w:r>
            <w:r>
              <w:rPr>
                <w:rFonts w:hint="eastAsia" w:ascii="宋体" w:hAnsi="宋体" w:eastAsia="宋体" w:cs="宋体"/>
                <w:b/>
                <w:bCs/>
                <w:color w:val="auto"/>
                <w:spacing w:val="6"/>
                <w:szCs w:val="21"/>
              </w:rPr>
              <w:t>展示和各种智能分析辅助功能</w:t>
            </w:r>
            <w:r>
              <w:rPr>
                <w:rFonts w:hint="eastAsia" w:ascii="宋体" w:hAnsi="宋体" w:eastAsia="宋体" w:cs="宋体"/>
                <w:color w:val="auto"/>
                <w:spacing w:val="6"/>
                <w:szCs w:val="21"/>
              </w:rPr>
              <w:t>，同图展示各种跨链兑币交易关系，深入分析地址间的关系及资金流向，智能发现隐秘资金关系和线索。支持图形节点拖拽绘制；支持用户查找多个地址</w:t>
            </w:r>
            <w:r>
              <w:rPr>
                <w:rFonts w:hint="eastAsia" w:ascii="宋体" w:hAnsi="宋体" w:eastAsia="宋体" w:cs="宋体"/>
                <w:color w:val="auto"/>
                <w:spacing w:val="5"/>
                <w:szCs w:val="21"/>
              </w:rPr>
              <w:t>间的交易路径。</w:t>
            </w:r>
          </w:p>
          <w:p w14:paraId="63C90F10">
            <w:pPr>
              <w:numPr>
                <w:ilvl w:val="0"/>
                <w:numId w:val="11"/>
              </w:numPr>
              <w:rPr>
                <w:rFonts w:ascii="宋体" w:hAnsi="宋体" w:eastAsia="宋体" w:cs="宋体"/>
                <w:color w:val="auto"/>
                <w:szCs w:val="21"/>
              </w:rPr>
            </w:pPr>
            <w:r>
              <w:rPr>
                <w:rFonts w:hint="eastAsia" w:ascii="宋体" w:hAnsi="宋体" w:eastAsia="宋体" w:cs="宋体"/>
                <w:color w:val="auto"/>
                <w:spacing w:val="10"/>
                <w:szCs w:val="21"/>
              </w:rPr>
              <w:t>支持基于比特币</w:t>
            </w:r>
            <w:r>
              <w:rPr>
                <w:rFonts w:hint="eastAsia" w:ascii="宋体" w:hAnsi="宋体" w:eastAsia="宋体" w:cs="宋体"/>
                <w:color w:val="auto"/>
                <w:szCs w:val="21"/>
              </w:rPr>
              <w:t>UTXO</w:t>
            </w:r>
            <w:r>
              <w:rPr>
                <w:rFonts w:hint="eastAsia" w:ascii="宋体" w:hAnsi="宋体" w:eastAsia="宋体" w:cs="宋体"/>
                <w:color w:val="auto"/>
                <w:spacing w:val="10"/>
                <w:szCs w:val="21"/>
              </w:rPr>
              <w:t>（未花费交易输出）交易模型，追踪1笔比特币交易</w:t>
            </w:r>
            <w:r>
              <w:rPr>
                <w:rFonts w:hint="eastAsia" w:ascii="宋体" w:hAnsi="宋体" w:eastAsia="宋体" w:cs="宋体"/>
                <w:color w:val="auto"/>
                <w:spacing w:val="6"/>
                <w:szCs w:val="21"/>
              </w:rPr>
              <w:t>的资金来源和去向。</w:t>
            </w:r>
          </w:p>
          <w:p w14:paraId="6D11E188">
            <w:pPr>
              <w:numPr>
                <w:ilvl w:val="0"/>
                <w:numId w:val="11"/>
              </w:numPr>
              <w:rPr>
                <w:rFonts w:ascii="宋体" w:hAnsi="宋体" w:eastAsia="宋体" w:cs="宋体"/>
                <w:color w:val="auto"/>
                <w:szCs w:val="21"/>
              </w:rPr>
            </w:pPr>
            <w:r>
              <w:rPr>
                <w:rFonts w:hint="eastAsia" w:ascii="宋体" w:hAnsi="宋体" w:eastAsia="宋体" w:cs="宋体"/>
                <w:color w:val="auto"/>
                <w:spacing w:val="6"/>
                <w:szCs w:val="21"/>
              </w:rPr>
              <w:t>智能识别</w:t>
            </w:r>
            <w:r>
              <w:rPr>
                <w:rFonts w:hint="eastAsia" w:ascii="宋体" w:hAnsi="宋体" w:eastAsia="宋体" w:cs="宋体"/>
                <w:b/>
                <w:bCs/>
                <w:color w:val="auto"/>
                <w:spacing w:val="6"/>
                <w:szCs w:val="21"/>
              </w:rPr>
              <w:t>兑币/跨链</w:t>
            </w:r>
            <w:r>
              <w:rPr>
                <w:rFonts w:hint="eastAsia" w:ascii="宋体" w:hAnsi="宋体" w:eastAsia="宋体" w:cs="宋体"/>
                <w:color w:val="auto"/>
                <w:spacing w:val="6"/>
                <w:szCs w:val="21"/>
              </w:rPr>
              <w:t>合约，动态解析各类协议，实现对兑币/跨链交易的自动</w:t>
            </w:r>
            <w:r>
              <w:rPr>
                <w:rFonts w:hint="eastAsia" w:ascii="宋体" w:hAnsi="宋体" w:eastAsia="宋体" w:cs="宋体"/>
                <w:color w:val="auto"/>
                <w:spacing w:val="7"/>
                <w:szCs w:val="21"/>
              </w:rPr>
              <w:t>穿透，即便是在多次兑换和跨链操作后，也能</w:t>
            </w:r>
            <w:r>
              <w:rPr>
                <w:rFonts w:hint="eastAsia" w:ascii="宋体" w:hAnsi="宋体" w:eastAsia="宋体" w:cs="宋体"/>
                <w:color w:val="auto"/>
                <w:spacing w:val="6"/>
                <w:szCs w:val="21"/>
              </w:rPr>
              <w:t>清晰描绘出多币种资金的完整</w:t>
            </w:r>
            <w:r>
              <w:rPr>
                <w:rFonts w:hint="eastAsia" w:ascii="宋体" w:hAnsi="宋体" w:eastAsia="宋体" w:cs="宋体"/>
                <w:color w:val="auto"/>
                <w:spacing w:val="8"/>
                <w:szCs w:val="21"/>
              </w:rPr>
              <w:t>迁移GJ，极大降低研判门槛。</w:t>
            </w:r>
          </w:p>
          <w:p w14:paraId="7E9BC15C">
            <w:pPr>
              <w:numPr>
                <w:ilvl w:val="0"/>
                <w:numId w:val="11"/>
              </w:numPr>
              <w:rPr>
                <w:rFonts w:ascii="宋体" w:hAnsi="宋体" w:eastAsia="宋体" w:cs="宋体"/>
                <w:color w:val="auto"/>
                <w:szCs w:val="21"/>
              </w:rPr>
            </w:pPr>
            <w:r>
              <w:rPr>
                <w:rFonts w:hint="eastAsia" w:ascii="宋体" w:hAnsi="宋体" w:eastAsia="宋体" w:cs="宋体"/>
                <w:color w:val="auto"/>
                <w:spacing w:val="7"/>
                <w:szCs w:val="21"/>
              </w:rPr>
              <w:t>输入线索地址，通过</w:t>
            </w:r>
            <w:r>
              <w:rPr>
                <w:rFonts w:hint="eastAsia" w:ascii="宋体" w:hAnsi="宋体" w:eastAsia="宋体" w:cs="宋体"/>
                <w:b/>
                <w:bCs/>
                <w:color w:val="auto"/>
                <w:spacing w:val="7"/>
                <w:szCs w:val="21"/>
              </w:rPr>
              <w:t>诈骗案件模型</w:t>
            </w:r>
            <w:r>
              <w:rPr>
                <w:rFonts w:hint="eastAsia" w:ascii="宋体" w:hAnsi="宋体" w:eastAsia="宋体" w:cs="宋体"/>
                <w:color w:val="auto"/>
                <w:spacing w:val="7"/>
                <w:szCs w:val="21"/>
              </w:rPr>
              <w:t>对案件相关指标进行</w:t>
            </w:r>
            <w:r>
              <w:rPr>
                <w:rFonts w:hint="eastAsia" w:ascii="宋体" w:hAnsi="宋体" w:eastAsia="宋体" w:cs="宋体"/>
                <w:b/>
                <w:bCs/>
                <w:color w:val="auto"/>
                <w:spacing w:val="7"/>
                <w:szCs w:val="21"/>
              </w:rPr>
              <w:t>链上全貌完整刻画，</w:t>
            </w:r>
            <w:r>
              <w:rPr>
                <w:rFonts w:hint="eastAsia" w:ascii="宋体" w:hAnsi="宋体" w:eastAsia="宋体" w:cs="宋体"/>
                <w:color w:val="auto"/>
                <w:spacing w:val="7"/>
                <w:szCs w:val="21"/>
              </w:rPr>
              <w:t>可视化呈现资金盘主干交易路径、重要地址及角色等信息，快速实现案</w:t>
            </w:r>
            <w:r>
              <w:rPr>
                <w:rFonts w:hint="eastAsia" w:ascii="宋体" w:hAnsi="宋体" w:eastAsia="宋体" w:cs="宋体"/>
                <w:color w:val="auto"/>
                <w:spacing w:val="6"/>
                <w:szCs w:val="21"/>
              </w:rPr>
              <w:t>件价值筛查。</w:t>
            </w:r>
          </w:p>
          <w:p w14:paraId="7BD84FD6">
            <w:pPr>
              <w:numPr>
                <w:ilvl w:val="0"/>
                <w:numId w:val="11"/>
              </w:numPr>
              <w:rPr>
                <w:rFonts w:ascii="宋体" w:hAnsi="宋体" w:eastAsia="宋体" w:cs="宋体"/>
                <w:color w:val="auto"/>
                <w:szCs w:val="21"/>
              </w:rPr>
            </w:pPr>
            <w:r>
              <w:rPr>
                <w:rFonts w:hint="eastAsia" w:ascii="宋体" w:hAnsi="宋体" w:eastAsia="宋体" w:cs="宋体"/>
                <w:color w:val="auto"/>
                <w:spacing w:val="7"/>
                <w:szCs w:val="21"/>
              </w:rPr>
              <w:t>输入线索地址，通过</w:t>
            </w:r>
            <w:r>
              <w:rPr>
                <w:rFonts w:hint="eastAsia" w:ascii="宋体" w:hAnsi="宋体" w:eastAsia="宋体" w:cs="宋体"/>
                <w:b/>
                <w:bCs/>
                <w:color w:val="auto"/>
                <w:spacing w:val="7"/>
                <w:szCs w:val="21"/>
              </w:rPr>
              <w:t>网赌案件模型</w:t>
            </w:r>
            <w:r>
              <w:rPr>
                <w:rFonts w:hint="eastAsia" w:ascii="宋体" w:hAnsi="宋体" w:eastAsia="宋体" w:cs="宋体"/>
                <w:color w:val="auto"/>
                <w:spacing w:val="7"/>
                <w:szCs w:val="21"/>
              </w:rPr>
              <w:t>对案件相关指标进行</w:t>
            </w:r>
            <w:r>
              <w:rPr>
                <w:rFonts w:hint="eastAsia" w:ascii="宋体" w:hAnsi="宋体" w:eastAsia="宋体" w:cs="宋体"/>
                <w:b/>
                <w:bCs/>
                <w:color w:val="auto"/>
                <w:spacing w:val="7"/>
                <w:szCs w:val="21"/>
              </w:rPr>
              <w:t>链上全貌完整刻画，</w:t>
            </w:r>
            <w:r>
              <w:rPr>
                <w:rFonts w:hint="eastAsia" w:ascii="宋体" w:hAnsi="宋体" w:eastAsia="宋体" w:cs="宋体"/>
                <w:color w:val="auto"/>
                <w:spacing w:val="7"/>
                <w:szCs w:val="21"/>
              </w:rPr>
              <w:t>可视化呈现资金盘主干交易路径、重要地址及角色等信息，快速实现案</w:t>
            </w:r>
            <w:r>
              <w:rPr>
                <w:rFonts w:hint="eastAsia" w:ascii="宋体" w:hAnsi="宋体" w:eastAsia="宋体" w:cs="宋体"/>
                <w:color w:val="auto"/>
                <w:spacing w:val="6"/>
                <w:szCs w:val="21"/>
              </w:rPr>
              <w:t>件价值筛查。</w:t>
            </w:r>
          </w:p>
          <w:p w14:paraId="07E055D0">
            <w:pPr>
              <w:numPr>
                <w:ilvl w:val="0"/>
                <w:numId w:val="11"/>
              </w:numPr>
              <w:rPr>
                <w:rFonts w:ascii="宋体" w:hAnsi="宋体" w:eastAsia="宋体" w:cs="宋体"/>
                <w:color w:val="auto"/>
                <w:szCs w:val="21"/>
              </w:rPr>
            </w:pPr>
            <w:r>
              <w:rPr>
                <w:rFonts w:hint="eastAsia" w:ascii="宋体" w:hAnsi="宋体" w:eastAsia="宋体" w:cs="宋体"/>
                <w:color w:val="auto"/>
                <w:spacing w:val="12"/>
                <w:szCs w:val="21"/>
              </w:rPr>
              <w:t>输入线索地址，通过</w:t>
            </w:r>
            <w:r>
              <w:rPr>
                <w:rFonts w:hint="eastAsia" w:ascii="宋体" w:hAnsi="宋体" w:eastAsia="宋体" w:cs="宋体"/>
                <w:b/>
                <w:bCs/>
                <w:color w:val="auto"/>
                <w:spacing w:val="12"/>
                <w:szCs w:val="21"/>
              </w:rPr>
              <w:t>哈希赌博案件模型</w:t>
            </w:r>
            <w:r>
              <w:rPr>
                <w:rFonts w:hint="eastAsia" w:ascii="宋体" w:hAnsi="宋体" w:eastAsia="宋体" w:cs="宋体"/>
                <w:color w:val="auto"/>
                <w:spacing w:val="12"/>
                <w:szCs w:val="21"/>
              </w:rPr>
              <w:t>对案件相关指标进行</w:t>
            </w:r>
            <w:r>
              <w:rPr>
                <w:rFonts w:hint="eastAsia" w:ascii="宋体" w:hAnsi="宋体" w:eastAsia="宋体" w:cs="宋体"/>
                <w:b/>
                <w:bCs/>
                <w:color w:val="auto"/>
                <w:spacing w:val="12"/>
                <w:szCs w:val="21"/>
              </w:rPr>
              <w:t>链上全貌完整</w:t>
            </w:r>
            <w:r>
              <w:rPr>
                <w:rFonts w:hint="eastAsia" w:ascii="宋体" w:hAnsi="宋体" w:eastAsia="宋体" w:cs="宋体"/>
                <w:b/>
                <w:bCs/>
                <w:color w:val="auto"/>
                <w:spacing w:val="6"/>
                <w:szCs w:val="21"/>
              </w:rPr>
              <w:t>刻画，</w:t>
            </w:r>
            <w:r>
              <w:rPr>
                <w:rFonts w:hint="eastAsia" w:ascii="宋体" w:hAnsi="宋体" w:eastAsia="宋体" w:cs="宋体"/>
                <w:color w:val="auto"/>
                <w:spacing w:val="6"/>
                <w:szCs w:val="21"/>
              </w:rPr>
              <w:t>可视化呈现资金盘主干交易路径、重要地址及角色等信息，快速实现案件价值筛查。</w:t>
            </w:r>
          </w:p>
          <w:p w14:paraId="4C72734B">
            <w:pPr>
              <w:numPr>
                <w:ilvl w:val="0"/>
                <w:numId w:val="11"/>
              </w:numPr>
              <w:rPr>
                <w:rFonts w:ascii="宋体" w:hAnsi="宋体" w:eastAsia="宋体" w:cs="宋体"/>
                <w:color w:val="auto"/>
                <w:szCs w:val="21"/>
              </w:rPr>
            </w:pPr>
            <w:r>
              <w:rPr>
                <w:rFonts w:hint="eastAsia" w:ascii="宋体" w:hAnsi="宋体" w:eastAsia="宋体" w:cs="宋体"/>
                <w:color w:val="auto"/>
                <w:spacing w:val="8"/>
                <w:szCs w:val="21"/>
              </w:rPr>
              <w:t>输入线索地址，通过</w:t>
            </w:r>
            <w:r>
              <w:rPr>
                <w:rFonts w:hint="eastAsia" w:ascii="宋体" w:hAnsi="宋体" w:eastAsia="宋体" w:cs="宋体"/>
                <w:b/>
                <w:bCs/>
                <w:color w:val="auto"/>
                <w:spacing w:val="8"/>
                <w:szCs w:val="21"/>
              </w:rPr>
              <w:t>盗币案件模型</w:t>
            </w:r>
            <w:r>
              <w:rPr>
                <w:rFonts w:hint="eastAsia" w:ascii="宋体" w:hAnsi="宋体" w:eastAsia="宋体" w:cs="宋体"/>
                <w:color w:val="auto"/>
                <w:spacing w:val="8"/>
                <w:szCs w:val="21"/>
              </w:rPr>
              <w:t>对案件相关指标</w:t>
            </w:r>
            <w:r>
              <w:rPr>
                <w:rFonts w:hint="eastAsia" w:ascii="宋体" w:hAnsi="宋体" w:eastAsia="宋体" w:cs="宋体"/>
                <w:color w:val="auto"/>
                <w:spacing w:val="7"/>
                <w:szCs w:val="21"/>
              </w:rPr>
              <w:t>进行</w:t>
            </w:r>
            <w:r>
              <w:rPr>
                <w:rFonts w:hint="eastAsia" w:ascii="宋体" w:hAnsi="宋体" w:eastAsia="宋体" w:cs="宋体"/>
                <w:b/>
                <w:bCs/>
                <w:color w:val="auto"/>
                <w:spacing w:val="7"/>
                <w:szCs w:val="21"/>
              </w:rPr>
              <w:t>链上全貌完整刻画</w:t>
            </w:r>
            <w:r>
              <w:rPr>
                <w:rFonts w:hint="eastAsia" w:ascii="宋体" w:hAnsi="宋体" w:eastAsia="宋体" w:cs="宋体"/>
                <w:color w:val="auto"/>
                <w:spacing w:val="7"/>
                <w:szCs w:val="21"/>
              </w:rPr>
              <w:t>，可视化呈现资金盘主干交易路径、重要地址及角色等信息，快速实现案</w:t>
            </w:r>
            <w:r>
              <w:rPr>
                <w:rFonts w:hint="eastAsia" w:ascii="宋体" w:hAnsi="宋体" w:eastAsia="宋体" w:cs="宋体"/>
                <w:color w:val="auto"/>
                <w:spacing w:val="6"/>
                <w:szCs w:val="21"/>
              </w:rPr>
              <w:t>件价值筛查。</w:t>
            </w:r>
          </w:p>
          <w:p w14:paraId="24D619D7">
            <w:pPr>
              <w:numPr>
                <w:ilvl w:val="0"/>
                <w:numId w:val="11"/>
              </w:numPr>
              <w:rPr>
                <w:rFonts w:ascii="宋体" w:hAnsi="宋体" w:eastAsia="宋体" w:cs="宋体"/>
                <w:color w:val="auto"/>
                <w:szCs w:val="21"/>
              </w:rPr>
            </w:pPr>
            <w:r>
              <w:rPr>
                <w:rFonts w:hint="eastAsia" w:ascii="宋体" w:hAnsi="宋体" w:eastAsia="宋体" w:cs="宋体"/>
                <w:b/>
                <w:bCs/>
                <w:color w:val="auto"/>
                <w:spacing w:val="11"/>
                <w:szCs w:val="21"/>
              </w:rPr>
              <w:t>自动查询</w:t>
            </w:r>
            <w:r>
              <w:rPr>
                <w:rFonts w:hint="eastAsia" w:ascii="宋体" w:hAnsi="宋体" w:eastAsia="宋体" w:cs="宋体"/>
                <w:color w:val="auto"/>
                <w:spacing w:val="11"/>
                <w:szCs w:val="21"/>
              </w:rPr>
              <w:t>涉案地址的可调证对象，</w:t>
            </w:r>
            <w:r>
              <w:rPr>
                <w:rFonts w:hint="eastAsia" w:ascii="宋体" w:hAnsi="宋体" w:eastAsia="宋体" w:cs="宋体"/>
                <w:b/>
                <w:bCs/>
                <w:color w:val="auto"/>
                <w:spacing w:val="11"/>
                <w:szCs w:val="21"/>
              </w:rPr>
              <w:t>关联发现交易所充提</w:t>
            </w:r>
            <w:r>
              <w:rPr>
                <w:rFonts w:hint="eastAsia" w:ascii="宋体" w:hAnsi="宋体" w:eastAsia="宋体" w:cs="宋体"/>
                <w:b/>
                <w:bCs/>
                <w:color w:val="auto"/>
                <w:spacing w:val="10"/>
                <w:szCs w:val="21"/>
              </w:rPr>
              <w:t>币地址</w:t>
            </w:r>
            <w:r>
              <w:rPr>
                <w:rFonts w:hint="eastAsia" w:ascii="宋体" w:hAnsi="宋体" w:eastAsia="宋体" w:cs="宋体"/>
                <w:color w:val="auto"/>
                <w:spacing w:val="10"/>
                <w:szCs w:val="21"/>
              </w:rPr>
              <w:t>。输入地址即可直达调证目标，输入地址即可快速呈现地址涉</w:t>
            </w:r>
            <w:r>
              <w:rPr>
                <w:rFonts w:hint="eastAsia" w:ascii="宋体" w:hAnsi="宋体" w:eastAsia="宋体" w:cs="宋体"/>
                <w:color w:val="auto"/>
                <w:spacing w:val="9"/>
                <w:szCs w:val="21"/>
              </w:rPr>
              <w:t>及资金与交易所/钱包等</w:t>
            </w:r>
            <w:r>
              <w:rPr>
                <w:rFonts w:hint="eastAsia" w:ascii="宋体" w:hAnsi="宋体" w:eastAsia="宋体" w:cs="宋体"/>
                <w:color w:val="auto"/>
                <w:spacing w:val="8"/>
                <w:szCs w:val="21"/>
              </w:rPr>
              <w:t>调证目标是否有关联，研判案件可行性。</w:t>
            </w:r>
          </w:p>
          <w:p w14:paraId="5899C214">
            <w:pPr>
              <w:numPr>
                <w:ilvl w:val="0"/>
                <w:numId w:val="11"/>
              </w:numPr>
              <w:rPr>
                <w:rFonts w:ascii="宋体" w:hAnsi="宋体" w:eastAsia="宋体" w:cs="宋体"/>
                <w:color w:val="auto"/>
                <w:szCs w:val="21"/>
              </w:rPr>
            </w:pPr>
            <w:r>
              <w:rPr>
                <w:rFonts w:hint="eastAsia" w:ascii="宋体" w:hAnsi="宋体" w:eastAsia="宋体" w:cs="宋体"/>
                <w:color w:val="auto"/>
                <w:spacing w:val="7"/>
                <w:szCs w:val="21"/>
              </w:rPr>
              <w:t>针对常见的交易所/钱包机构，用户可快速批量</w:t>
            </w:r>
            <w:r>
              <w:rPr>
                <w:rFonts w:hint="eastAsia" w:ascii="宋体" w:hAnsi="宋体" w:eastAsia="宋体" w:cs="宋体"/>
                <w:color w:val="auto"/>
                <w:spacing w:val="6"/>
                <w:szCs w:val="21"/>
              </w:rPr>
              <w:t>复制粘贴地址/交易哈希等信</w:t>
            </w:r>
            <w:r>
              <w:rPr>
                <w:rFonts w:hint="eastAsia" w:ascii="宋体" w:hAnsi="宋体" w:eastAsia="宋体" w:cs="宋体"/>
                <w:color w:val="auto"/>
                <w:spacing w:val="5"/>
                <w:szCs w:val="21"/>
              </w:rPr>
              <w:t>息，并</w:t>
            </w:r>
            <w:r>
              <w:rPr>
                <w:rFonts w:hint="eastAsia" w:ascii="宋体" w:hAnsi="宋体" w:eastAsia="宋体" w:cs="宋体"/>
                <w:b/>
                <w:bCs/>
                <w:color w:val="auto"/>
                <w:spacing w:val="5"/>
                <w:szCs w:val="21"/>
              </w:rPr>
              <w:t>一键生成调证函</w:t>
            </w:r>
            <w:r>
              <w:rPr>
                <w:rFonts w:hint="eastAsia" w:ascii="宋体" w:hAnsi="宋体" w:eastAsia="宋体" w:cs="宋体"/>
                <w:color w:val="auto"/>
                <w:spacing w:val="5"/>
                <w:szCs w:val="21"/>
              </w:rPr>
              <w:t>。</w:t>
            </w:r>
          </w:p>
          <w:p w14:paraId="408D3B88">
            <w:pPr>
              <w:numPr>
                <w:ilvl w:val="0"/>
                <w:numId w:val="11"/>
              </w:numPr>
              <w:rPr>
                <w:rFonts w:ascii="宋体" w:hAnsi="宋体" w:eastAsia="宋体" w:cs="宋体"/>
                <w:color w:val="auto"/>
                <w:szCs w:val="21"/>
              </w:rPr>
            </w:pPr>
            <w:r>
              <w:rPr>
                <w:rFonts w:hint="eastAsia" w:ascii="宋体" w:hAnsi="宋体" w:eastAsia="宋体" w:cs="宋体"/>
                <w:color w:val="auto"/>
                <w:spacing w:val="6"/>
                <w:szCs w:val="21"/>
              </w:rPr>
              <w:t>针对每个调证机构，注明了对应</w:t>
            </w:r>
            <w:r>
              <w:rPr>
                <w:rFonts w:hint="eastAsia" w:ascii="宋体" w:hAnsi="宋体" w:eastAsia="宋体" w:cs="宋体"/>
                <w:b/>
                <w:bCs/>
                <w:color w:val="auto"/>
                <w:spacing w:val="6"/>
                <w:szCs w:val="21"/>
              </w:rPr>
              <w:t>调证指引</w:t>
            </w:r>
            <w:r>
              <w:rPr>
                <w:rFonts w:hint="eastAsia" w:ascii="宋体" w:hAnsi="宋体" w:eastAsia="宋体" w:cs="宋体"/>
                <w:color w:val="auto"/>
                <w:spacing w:val="6"/>
                <w:szCs w:val="21"/>
              </w:rPr>
              <w:t>信息，使得调证流程更加清晰和快</w:t>
            </w:r>
            <w:r>
              <w:rPr>
                <w:rFonts w:hint="eastAsia" w:ascii="宋体" w:hAnsi="宋体" w:eastAsia="宋体" w:cs="宋体"/>
                <w:color w:val="auto"/>
                <w:spacing w:val="3"/>
                <w:szCs w:val="21"/>
              </w:rPr>
              <w:t>捷。</w:t>
            </w:r>
          </w:p>
          <w:p w14:paraId="3429687C">
            <w:pPr>
              <w:numPr>
                <w:ilvl w:val="0"/>
                <w:numId w:val="11"/>
              </w:numPr>
              <w:rPr>
                <w:rFonts w:ascii="宋体" w:hAnsi="宋体" w:eastAsia="宋体" w:cs="宋体"/>
                <w:color w:val="auto"/>
                <w:szCs w:val="21"/>
              </w:rPr>
            </w:pPr>
            <w:r>
              <w:rPr>
                <w:rFonts w:hint="eastAsia" w:ascii="宋体" w:hAnsi="宋体" w:eastAsia="宋体" w:cs="宋体"/>
                <w:color w:val="auto"/>
                <w:spacing w:val="6"/>
                <w:szCs w:val="21"/>
              </w:rPr>
              <w:t>支持将调证清洗后的数据与链上数据相结合，可自动关联充提币交易，打通</w:t>
            </w:r>
            <w:r>
              <w:rPr>
                <w:rFonts w:hint="eastAsia" w:ascii="宋体" w:hAnsi="宋体" w:eastAsia="宋体" w:cs="宋体"/>
                <w:color w:val="auto"/>
                <w:spacing w:val="8"/>
                <w:szCs w:val="21"/>
              </w:rPr>
              <w:t>链上数据与交易所的数据屏障，</w:t>
            </w:r>
            <w:r>
              <w:rPr>
                <w:rFonts w:hint="eastAsia" w:ascii="宋体" w:hAnsi="宋体" w:eastAsia="宋体" w:cs="宋体"/>
                <w:b/>
                <w:bCs/>
                <w:color w:val="auto"/>
                <w:spacing w:val="8"/>
                <w:szCs w:val="21"/>
              </w:rPr>
              <w:t>击穿交易所黑盒限制</w:t>
            </w:r>
            <w:r>
              <w:rPr>
                <w:rFonts w:hint="eastAsia" w:ascii="宋体" w:hAnsi="宋体" w:eastAsia="宋体" w:cs="宋体"/>
                <w:color w:val="auto"/>
                <w:spacing w:val="8"/>
                <w:szCs w:val="21"/>
              </w:rPr>
              <w:t>，挖掘涉案人员信</w:t>
            </w:r>
            <w:r>
              <w:rPr>
                <w:rFonts w:hint="eastAsia" w:ascii="宋体" w:hAnsi="宋体" w:eastAsia="宋体" w:cs="宋体"/>
                <w:color w:val="auto"/>
                <w:spacing w:val="7"/>
                <w:szCs w:val="21"/>
              </w:rPr>
              <w:t>息，</w:t>
            </w:r>
            <w:r>
              <w:rPr>
                <w:rFonts w:hint="eastAsia" w:ascii="宋体" w:hAnsi="宋体" w:eastAsia="宋体" w:cs="宋体"/>
                <w:color w:val="auto"/>
                <w:spacing w:val="9"/>
                <w:szCs w:val="21"/>
              </w:rPr>
              <w:t>刻画涉案人员画像，实现资金持续追踪。</w:t>
            </w:r>
          </w:p>
          <w:p w14:paraId="6F38D5EB">
            <w:pPr>
              <w:numPr>
                <w:ilvl w:val="0"/>
                <w:numId w:val="11"/>
              </w:numPr>
              <w:rPr>
                <w:rFonts w:ascii="宋体" w:hAnsi="宋体" w:eastAsia="宋体" w:cs="宋体"/>
                <w:color w:val="auto"/>
                <w:szCs w:val="21"/>
              </w:rPr>
            </w:pPr>
            <w:r>
              <w:rPr>
                <w:rFonts w:hint="eastAsia" w:ascii="宋体" w:hAnsi="宋体" w:eastAsia="宋体" w:cs="宋体"/>
                <w:color w:val="auto"/>
                <w:spacing w:val="9"/>
                <w:szCs w:val="21"/>
              </w:rPr>
              <w:t>根据龙卷风混币器的充币地址，通过内置智能算法尝试分析资金提币去向。</w:t>
            </w:r>
          </w:p>
          <w:p w14:paraId="17EA598B">
            <w:pPr>
              <w:numPr>
                <w:ilvl w:val="0"/>
                <w:numId w:val="11"/>
              </w:numPr>
              <w:rPr>
                <w:rFonts w:ascii="宋体" w:hAnsi="宋体" w:eastAsia="宋体" w:cs="宋体"/>
                <w:color w:val="auto"/>
                <w:szCs w:val="21"/>
              </w:rPr>
            </w:pPr>
            <w:r>
              <w:rPr>
                <w:rFonts w:hint="eastAsia" w:ascii="宋体" w:hAnsi="宋体" w:eastAsia="宋体" w:cs="宋体"/>
                <w:color w:val="auto"/>
                <w:spacing w:val="11"/>
                <w:szCs w:val="21"/>
              </w:rPr>
              <w:t>支持对中心化交易所</w:t>
            </w:r>
            <w:r>
              <w:rPr>
                <w:rFonts w:hint="eastAsia" w:ascii="宋体" w:hAnsi="宋体" w:eastAsia="宋体" w:cs="宋体"/>
                <w:color w:val="auto"/>
                <w:szCs w:val="21"/>
              </w:rPr>
              <w:t>ChangeNow</w:t>
            </w:r>
            <w:r>
              <w:rPr>
                <w:rFonts w:hint="eastAsia" w:ascii="宋体" w:hAnsi="宋体" w:eastAsia="宋体" w:cs="宋体"/>
                <w:color w:val="auto"/>
                <w:spacing w:val="11"/>
                <w:szCs w:val="21"/>
              </w:rPr>
              <w:t>和</w:t>
            </w:r>
            <w:r>
              <w:rPr>
                <w:rFonts w:hint="eastAsia" w:ascii="宋体" w:hAnsi="宋体" w:eastAsia="宋体" w:cs="宋体"/>
                <w:color w:val="auto"/>
                <w:szCs w:val="21"/>
              </w:rPr>
              <w:t>FixedFloat</w:t>
            </w:r>
            <w:r>
              <w:rPr>
                <w:rFonts w:hint="eastAsia" w:ascii="宋体" w:hAnsi="宋体" w:eastAsia="宋体" w:cs="宋体"/>
                <w:color w:val="auto"/>
                <w:spacing w:val="11"/>
                <w:szCs w:val="21"/>
              </w:rPr>
              <w:t>的兑币或跨链交易进行深度</w:t>
            </w:r>
            <w:r>
              <w:rPr>
                <w:rFonts w:hint="eastAsia" w:ascii="宋体" w:hAnsi="宋体" w:eastAsia="宋体" w:cs="宋体"/>
                <w:color w:val="auto"/>
                <w:spacing w:val="8"/>
                <w:szCs w:val="21"/>
              </w:rPr>
              <w:t>挖掘，根据1笔转入平台的资金，挖掘出经系统处理后的转出</w:t>
            </w:r>
            <w:r>
              <w:rPr>
                <w:rFonts w:hint="eastAsia" w:ascii="宋体" w:hAnsi="宋体" w:eastAsia="宋体" w:cs="宋体"/>
                <w:color w:val="auto"/>
                <w:spacing w:val="7"/>
                <w:szCs w:val="21"/>
              </w:rPr>
              <w:t>地址。</w:t>
            </w:r>
          </w:p>
          <w:p w14:paraId="07F424BC">
            <w:pPr>
              <w:numPr>
                <w:ilvl w:val="0"/>
                <w:numId w:val="11"/>
              </w:numPr>
              <w:rPr>
                <w:rFonts w:ascii="宋体" w:hAnsi="宋体" w:eastAsia="宋体" w:cs="宋体"/>
                <w:color w:val="auto"/>
                <w:szCs w:val="21"/>
              </w:rPr>
            </w:pPr>
            <w:r>
              <w:rPr>
                <w:rFonts w:hint="eastAsia" w:ascii="宋体" w:hAnsi="宋体" w:eastAsia="宋体" w:cs="宋体"/>
                <w:color w:val="auto"/>
                <w:spacing w:val="7"/>
                <w:szCs w:val="21"/>
              </w:rPr>
              <w:t>支持对指定</w:t>
            </w:r>
            <w:r>
              <w:rPr>
                <w:rFonts w:hint="eastAsia" w:ascii="宋体" w:hAnsi="宋体" w:eastAsia="宋体" w:cs="宋体"/>
                <w:color w:val="auto"/>
                <w:szCs w:val="21"/>
              </w:rPr>
              <w:t>NFT</w:t>
            </w:r>
            <w:r>
              <w:rPr>
                <w:rFonts w:hint="eastAsia" w:ascii="宋体" w:hAnsi="宋体" w:eastAsia="宋体" w:cs="宋体"/>
                <w:color w:val="auto"/>
                <w:spacing w:val="7"/>
                <w:szCs w:val="21"/>
              </w:rPr>
              <w:t>的来源和去向进行分析。</w:t>
            </w:r>
          </w:p>
          <w:p w14:paraId="48CBE6B9">
            <w:pPr>
              <w:numPr>
                <w:ilvl w:val="0"/>
                <w:numId w:val="11"/>
              </w:numPr>
              <w:rPr>
                <w:rFonts w:ascii="宋体" w:hAnsi="宋体" w:eastAsia="宋体" w:cs="宋体"/>
                <w:color w:val="auto"/>
                <w:szCs w:val="21"/>
              </w:rPr>
            </w:pPr>
            <w:r>
              <w:rPr>
                <w:rFonts w:hint="eastAsia" w:ascii="宋体" w:hAnsi="宋体" w:eastAsia="宋体" w:cs="宋体"/>
                <w:color w:val="auto"/>
                <w:spacing w:val="6"/>
                <w:szCs w:val="21"/>
              </w:rPr>
              <w:t>整合虚拟货币全领域数据资源，包括案件类型、行业报告、市场数据、司法</w:t>
            </w:r>
            <w:r>
              <w:rPr>
                <w:rFonts w:hint="eastAsia" w:ascii="宋体" w:hAnsi="宋体" w:eastAsia="宋体" w:cs="宋体"/>
                <w:color w:val="auto"/>
                <w:spacing w:val="9"/>
                <w:szCs w:val="21"/>
              </w:rPr>
              <w:t xml:space="preserve">判例及侦查指南等，借助 </w:t>
            </w:r>
            <w:r>
              <w:rPr>
                <w:rFonts w:hint="eastAsia" w:ascii="宋体" w:hAnsi="宋体" w:eastAsia="宋体" w:cs="宋体"/>
                <w:color w:val="auto"/>
                <w:szCs w:val="21"/>
              </w:rPr>
              <w:t>AI</w:t>
            </w:r>
            <w:r>
              <w:rPr>
                <w:rFonts w:hint="eastAsia" w:ascii="宋体" w:hAnsi="宋体" w:eastAsia="宋体" w:cs="宋体"/>
                <w:color w:val="auto"/>
                <w:spacing w:val="9"/>
                <w:szCs w:val="21"/>
              </w:rPr>
              <w:t xml:space="preserve"> 实现对办案过程中疑难问题进行解答。</w:t>
            </w:r>
          </w:p>
          <w:p w14:paraId="10D9ECDE">
            <w:pPr>
              <w:numPr>
                <w:ilvl w:val="0"/>
                <w:numId w:val="11"/>
              </w:numPr>
              <w:rPr>
                <w:rFonts w:ascii="宋体" w:hAnsi="宋体" w:eastAsia="宋体" w:cs="宋体"/>
                <w:color w:val="auto"/>
                <w:szCs w:val="21"/>
              </w:rPr>
            </w:pPr>
            <w:r>
              <w:rPr>
                <w:rFonts w:hint="eastAsia" w:ascii="宋体" w:hAnsi="宋体" w:eastAsia="宋体" w:cs="宋体"/>
                <w:color w:val="auto"/>
                <w:spacing w:val="10"/>
                <w:szCs w:val="21"/>
              </w:rPr>
              <w:t>地址持久化</w:t>
            </w:r>
            <w:r>
              <w:rPr>
                <w:rFonts w:hint="eastAsia" w:ascii="宋体" w:hAnsi="宋体" w:eastAsia="宋体" w:cs="宋体"/>
                <w:b/>
                <w:bCs/>
                <w:color w:val="auto"/>
                <w:spacing w:val="10"/>
                <w:szCs w:val="21"/>
              </w:rPr>
              <w:t>自动监控</w:t>
            </w:r>
            <w:r>
              <w:rPr>
                <w:rFonts w:hint="eastAsia" w:ascii="宋体" w:hAnsi="宋体" w:eastAsia="宋体" w:cs="宋体"/>
                <w:color w:val="auto"/>
                <w:spacing w:val="10"/>
                <w:szCs w:val="21"/>
              </w:rPr>
              <w:t>。7*24小时不间断监控可疑地址、重点地址</w:t>
            </w:r>
            <w:r>
              <w:rPr>
                <w:rFonts w:hint="eastAsia" w:ascii="宋体" w:hAnsi="宋体" w:eastAsia="宋体" w:cs="宋体"/>
                <w:color w:val="auto"/>
                <w:spacing w:val="9"/>
                <w:szCs w:val="21"/>
              </w:rPr>
              <w:t>的交易情</w:t>
            </w:r>
            <w:r>
              <w:rPr>
                <w:rFonts w:hint="eastAsia" w:ascii="宋体" w:hAnsi="宋体" w:eastAsia="宋体" w:cs="宋体"/>
                <w:color w:val="auto"/>
                <w:spacing w:val="7"/>
                <w:szCs w:val="21"/>
              </w:rPr>
              <w:t>况和余额变动情况，在资金异动时第一时间推送告警消息，免除人</w:t>
            </w:r>
            <w:r>
              <w:rPr>
                <w:rFonts w:hint="eastAsia" w:ascii="宋体" w:hAnsi="宋体" w:eastAsia="宋体" w:cs="宋体"/>
                <w:color w:val="auto"/>
                <w:spacing w:val="6"/>
                <w:szCs w:val="21"/>
              </w:rPr>
              <w:t>工持续监控的烦恼。</w:t>
            </w:r>
          </w:p>
          <w:p w14:paraId="1E230F13">
            <w:pPr>
              <w:numPr>
                <w:ilvl w:val="0"/>
                <w:numId w:val="11"/>
              </w:numPr>
              <w:rPr>
                <w:rFonts w:ascii="宋体" w:hAnsi="宋体" w:eastAsia="宋体" w:cs="宋体"/>
                <w:color w:val="auto"/>
                <w:szCs w:val="21"/>
              </w:rPr>
            </w:pPr>
            <w:r>
              <w:rPr>
                <w:rFonts w:hint="eastAsia" w:ascii="宋体" w:hAnsi="宋体" w:eastAsia="宋体" w:cs="宋体"/>
                <w:color w:val="auto"/>
                <w:spacing w:val="6"/>
                <w:szCs w:val="21"/>
              </w:rPr>
              <w:t>收集整理了近年来涉及虚拟货币案件的</w:t>
            </w:r>
            <w:r>
              <w:rPr>
                <w:rFonts w:hint="eastAsia" w:ascii="宋体" w:hAnsi="宋体" w:eastAsia="宋体" w:cs="宋体"/>
                <w:b/>
                <w:bCs/>
                <w:color w:val="auto"/>
                <w:spacing w:val="6"/>
                <w:szCs w:val="21"/>
              </w:rPr>
              <w:t>司法判例</w:t>
            </w:r>
            <w:r>
              <w:rPr>
                <w:rFonts w:hint="eastAsia" w:ascii="宋体" w:hAnsi="宋体" w:eastAsia="宋体" w:cs="宋体"/>
                <w:color w:val="auto"/>
                <w:spacing w:val="6"/>
                <w:szCs w:val="21"/>
              </w:rPr>
              <w:t>，方便办案人员进行相关查</w:t>
            </w:r>
            <w:r>
              <w:rPr>
                <w:rFonts w:hint="eastAsia" w:ascii="宋体" w:hAnsi="宋体" w:eastAsia="宋体" w:cs="宋体"/>
                <w:color w:val="auto"/>
                <w:spacing w:val="8"/>
                <w:szCs w:val="21"/>
              </w:rPr>
              <w:t>询，为所办案件的法律定性提供参考。</w:t>
            </w:r>
          </w:p>
          <w:p w14:paraId="13E075C4">
            <w:pPr>
              <w:numPr>
                <w:ilvl w:val="0"/>
                <w:numId w:val="11"/>
              </w:numPr>
              <w:rPr>
                <w:rFonts w:ascii="宋体" w:hAnsi="宋体" w:eastAsia="宋体" w:cs="宋体"/>
                <w:color w:val="auto"/>
                <w:szCs w:val="21"/>
              </w:rPr>
            </w:pPr>
            <w:r>
              <w:rPr>
                <w:rFonts w:hint="eastAsia" w:ascii="宋体" w:hAnsi="宋体" w:eastAsia="宋体" w:cs="宋体"/>
                <w:b/>
                <w:bCs/>
                <w:color w:val="auto"/>
                <w:spacing w:val="9"/>
                <w:szCs w:val="21"/>
              </w:rPr>
              <w:t>类案战法构建“战库”。</w:t>
            </w:r>
            <w:r>
              <w:rPr>
                <w:rFonts w:hint="eastAsia" w:ascii="宋体" w:hAnsi="宋体" w:eastAsia="宋体" w:cs="宋体"/>
                <w:color w:val="auto"/>
                <w:spacing w:val="9"/>
                <w:szCs w:val="21"/>
              </w:rPr>
              <w:t>支持</w:t>
            </w:r>
            <w:r>
              <w:rPr>
                <w:rFonts w:hint="eastAsia" w:ascii="宋体" w:hAnsi="宋体" w:eastAsia="宋体" w:cs="宋体"/>
                <w:b/>
                <w:bCs/>
                <w:color w:val="auto"/>
                <w:spacing w:val="9"/>
                <w:szCs w:val="21"/>
              </w:rPr>
              <w:t>网赌、涉毒、侵公、盗币、诈骗</w:t>
            </w:r>
            <w:r>
              <w:rPr>
                <w:rFonts w:hint="eastAsia" w:ascii="宋体" w:hAnsi="宋体" w:eastAsia="宋体" w:cs="宋体"/>
                <w:color w:val="auto"/>
                <w:spacing w:val="9"/>
                <w:szCs w:val="21"/>
              </w:rPr>
              <w:t>等多种涉虚</w:t>
            </w:r>
            <w:r>
              <w:rPr>
                <w:rFonts w:hint="eastAsia" w:ascii="宋体" w:hAnsi="宋体" w:eastAsia="宋体" w:cs="宋体"/>
                <w:color w:val="auto"/>
                <w:spacing w:val="7"/>
                <w:szCs w:val="21"/>
              </w:rPr>
              <w:t>拟币类案的分析战法引导，通过专业分析策略，有</w:t>
            </w:r>
            <w:r>
              <w:rPr>
                <w:rFonts w:hint="eastAsia" w:ascii="宋体" w:hAnsi="宋体" w:eastAsia="宋体" w:cs="宋体"/>
                <w:color w:val="auto"/>
                <w:spacing w:val="6"/>
                <w:szCs w:val="21"/>
              </w:rPr>
              <w:t>效提升用户案件分析能力与侦破效率。</w:t>
            </w:r>
          </w:p>
          <w:p w14:paraId="00A57F16">
            <w:pPr>
              <w:numPr>
                <w:ilvl w:val="0"/>
                <w:numId w:val="11"/>
              </w:numPr>
              <w:rPr>
                <w:rFonts w:ascii="宋体" w:hAnsi="宋体" w:eastAsia="宋体" w:cs="宋体"/>
                <w:color w:val="auto"/>
                <w:szCs w:val="21"/>
              </w:rPr>
            </w:pPr>
            <w:r>
              <w:rPr>
                <w:rFonts w:hint="eastAsia" w:ascii="宋体" w:hAnsi="宋体" w:eastAsia="宋体" w:cs="宋体"/>
                <w:color w:val="auto"/>
                <w:spacing w:val="8"/>
                <w:szCs w:val="21"/>
              </w:rPr>
              <w:t>支持多地址/交易标注信息批量导入，同时支持将标注信息批量导出分享给</w:t>
            </w:r>
            <w:r>
              <w:rPr>
                <w:rFonts w:hint="eastAsia" w:ascii="宋体" w:hAnsi="宋体" w:eastAsia="宋体" w:cs="宋体"/>
                <w:color w:val="auto"/>
                <w:spacing w:val="6"/>
                <w:szCs w:val="21"/>
              </w:rPr>
              <w:t>其他人再导入。</w:t>
            </w:r>
          </w:p>
          <w:p w14:paraId="1DB3BCC1">
            <w:pPr>
              <w:numPr>
                <w:ilvl w:val="0"/>
                <w:numId w:val="11"/>
              </w:numPr>
              <w:rPr>
                <w:rFonts w:ascii="宋体" w:hAnsi="宋体" w:eastAsia="宋体" w:cs="宋体"/>
                <w:color w:val="auto"/>
                <w:szCs w:val="21"/>
              </w:rPr>
            </w:pPr>
            <w:r>
              <w:rPr>
                <w:rFonts w:hint="eastAsia" w:ascii="宋体" w:hAnsi="宋体" w:eastAsia="宋体" w:cs="宋体"/>
                <w:color w:val="auto"/>
                <w:spacing w:val="6"/>
                <w:szCs w:val="21"/>
              </w:rPr>
              <w:t>支持多案件任务无缝切换、联动分析，任务创建—案件分析—重要结果留档</w:t>
            </w:r>
            <w:r>
              <w:rPr>
                <w:rFonts w:hint="eastAsia" w:ascii="宋体" w:hAnsi="宋体" w:eastAsia="宋体" w:cs="宋体"/>
                <w:color w:val="auto"/>
                <w:spacing w:val="9"/>
                <w:szCs w:val="21"/>
              </w:rPr>
              <w:t>—结案全流程闭环管理。</w:t>
            </w:r>
          </w:p>
          <w:p w14:paraId="15B8B0BD">
            <w:pPr>
              <w:numPr>
                <w:ilvl w:val="0"/>
                <w:numId w:val="11"/>
              </w:numPr>
              <w:rPr>
                <w:rFonts w:ascii="宋体" w:hAnsi="宋体" w:eastAsia="宋体" w:cs="宋体"/>
                <w:color w:val="auto"/>
                <w:szCs w:val="21"/>
              </w:rPr>
            </w:pPr>
            <w:r>
              <w:rPr>
                <w:rFonts w:hint="eastAsia" w:ascii="宋体" w:hAnsi="宋体" w:eastAsia="宋体" w:cs="宋体"/>
                <w:color w:val="auto"/>
                <w:spacing w:val="6"/>
                <w:szCs w:val="21"/>
              </w:rPr>
              <w:t>按指定条件导出海量地址/交易流水，也可批量导出多个地址的余额或流水。</w:t>
            </w:r>
          </w:p>
          <w:p w14:paraId="7106A820">
            <w:pPr>
              <w:numPr>
                <w:ilvl w:val="0"/>
                <w:numId w:val="11"/>
              </w:numPr>
              <w:rPr>
                <w:rFonts w:ascii="宋体" w:hAnsi="宋体" w:eastAsia="宋体" w:cs="宋体"/>
                <w:color w:val="auto"/>
                <w:szCs w:val="21"/>
              </w:rPr>
            </w:pPr>
            <w:r>
              <w:rPr>
                <w:rFonts w:hint="eastAsia" w:ascii="宋体" w:hAnsi="宋体" w:eastAsia="宋体" w:cs="宋体"/>
                <w:color w:val="auto"/>
                <w:spacing w:val="12"/>
                <w:szCs w:val="21"/>
              </w:rPr>
              <w:t>支持对币安、火币、欧意等交易所</w:t>
            </w:r>
            <w:r>
              <w:rPr>
                <w:rFonts w:hint="eastAsia" w:ascii="宋体" w:hAnsi="宋体" w:eastAsia="宋体" w:cs="宋体"/>
                <w:b/>
                <w:bCs/>
                <w:color w:val="auto"/>
                <w:spacing w:val="12"/>
                <w:szCs w:val="21"/>
              </w:rPr>
              <w:t>调证回函数据进行自动化清洗</w:t>
            </w:r>
            <w:r>
              <w:rPr>
                <w:rFonts w:hint="eastAsia" w:ascii="宋体" w:hAnsi="宋体" w:eastAsia="宋体" w:cs="宋体"/>
                <w:color w:val="auto"/>
                <w:spacing w:val="12"/>
                <w:szCs w:val="21"/>
              </w:rPr>
              <w:t>，提取回</w:t>
            </w:r>
            <w:r>
              <w:rPr>
                <w:rFonts w:hint="eastAsia" w:ascii="宋体" w:hAnsi="宋体" w:eastAsia="宋体" w:cs="宋体"/>
                <w:color w:val="auto"/>
                <w:spacing w:val="7"/>
                <w:szCs w:val="21"/>
              </w:rPr>
              <w:t>函关键数据形成清晰可读的数据报告，还原时序行为，同</w:t>
            </w:r>
            <w:r>
              <w:rPr>
                <w:rFonts w:hint="eastAsia" w:ascii="宋体" w:hAnsi="宋体" w:eastAsia="宋体" w:cs="宋体"/>
                <w:color w:val="auto"/>
                <w:spacing w:val="6"/>
                <w:szCs w:val="21"/>
              </w:rPr>
              <w:t>时支持对清洗后的</w:t>
            </w:r>
            <w:r>
              <w:rPr>
                <w:rFonts w:hint="eastAsia" w:ascii="宋体" w:hAnsi="宋体" w:eastAsia="宋体" w:cs="宋体"/>
                <w:color w:val="auto"/>
                <w:spacing w:val="9"/>
                <w:szCs w:val="21"/>
              </w:rPr>
              <w:t>数据导入到链必追中进行交易所穿透分析。</w:t>
            </w:r>
          </w:p>
          <w:p w14:paraId="5212B582">
            <w:pPr>
              <w:numPr>
                <w:ilvl w:val="0"/>
                <w:numId w:val="11"/>
              </w:numPr>
              <w:rPr>
                <w:rFonts w:ascii="宋体" w:hAnsi="宋体" w:eastAsia="宋体" w:cs="宋体"/>
                <w:color w:val="auto"/>
                <w:szCs w:val="21"/>
              </w:rPr>
            </w:pPr>
            <w:r>
              <w:rPr>
                <w:rFonts w:hint="eastAsia" w:ascii="宋体" w:hAnsi="宋体" w:eastAsia="宋体" w:cs="宋体"/>
                <w:color w:val="auto"/>
                <w:spacing w:val="8"/>
                <w:szCs w:val="21"/>
              </w:rPr>
              <w:t>支持根据地址不完整信息，</w:t>
            </w:r>
            <w:r>
              <w:rPr>
                <w:rFonts w:hint="eastAsia" w:ascii="宋体" w:hAnsi="宋体" w:eastAsia="宋体" w:cs="宋体"/>
                <w:b/>
                <w:bCs/>
                <w:color w:val="auto"/>
                <w:spacing w:val="8"/>
                <w:szCs w:val="21"/>
              </w:rPr>
              <w:t>还原</w:t>
            </w:r>
            <w:r>
              <w:rPr>
                <w:rFonts w:hint="eastAsia" w:ascii="宋体" w:hAnsi="宋体" w:eastAsia="宋体" w:cs="宋体"/>
                <w:color w:val="auto"/>
                <w:spacing w:val="8"/>
                <w:szCs w:val="21"/>
              </w:rPr>
              <w:t>分析中发现的</w:t>
            </w:r>
            <w:r>
              <w:rPr>
                <w:rFonts w:hint="eastAsia" w:ascii="宋体" w:hAnsi="宋体" w:eastAsia="宋体" w:cs="宋体"/>
                <w:b/>
                <w:bCs/>
                <w:color w:val="auto"/>
                <w:spacing w:val="8"/>
                <w:szCs w:val="21"/>
              </w:rPr>
              <w:t>残缺地址</w:t>
            </w:r>
            <w:r>
              <w:rPr>
                <w:rFonts w:hint="eastAsia" w:ascii="宋体" w:hAnsi="宋体" w:eastAsia="宋体" w:cs="宋体"/>
                <w:color w:val="auto"/>
                <w:spacing w:val="8"/>
                <w:szCs w:val="21"/>
              </w:rPr>
              <w:t>。</w:t>
            </w:r>
          </w:p>
          <w:p w14:paraId="4599B551">
            <w:pPr>
              <w:numPr>
                <w:ilvl w:val="0"/>
                <w:numId w:val="11"/>
              </w:numPr>
              <w:rPr>
                <w:rFonts w:ascii="宋体" w:hAnsi="宋体" w:eastAsia="宋体" w:cs="宋体"/>
                <w:color w:val="auto"/>
                <w:szCs w:val="21"/>
              </w:rPr>
            </w:pPr>
            <w:r>
              <w:rPr>
                <w:rFonts w:hint="eastAsia" w:ascii="宋体" w:hAnsi="宋体" w:eastAsia="宋体" w:cs="宋体"/>
                <w:color w:val="auto"/>
                <w:spacing w:val="9"/>
                <w:szCs w:val="21"/>
              </w:rPr>
              <w:t>支持根据犯罪案件相关线索信息，如</w:t>
            </w:r>
            <w:r>
              <w:rPr>
                <w:rFonts w:hint="eastAsia" w:ascii="宋体" w:hAnsi="宋体" w:eastAsia="宋体" w:cs="宋体"/>
                <w:b/>
                <w:bCs/>
                <w:color w:val="auto"/>
                <w:spacing w:val="9"/>
                <w:szCs w:val="21"/>
              </w:rPr>
              <w:t>时间段</w:t>
            </w:r>
            <w:r>
              <w:rPr>
                <w:rFonts w:hint="eastAsia" w:ascii="宋体" w:hAnsi="宋体" w:eastAsia="宋体" w:cs="宋体"/>
                <w:color w:val="auto"/>
                <w:spacing w:val="9"/>
                <w:szCs w:val="21"/>
              </w:rPr>
              <w:t>、虚拟币/法币交易</w:t>
            </w:r>
            <w:r>
              <w:rPr>
                <w:rFonts w:hint="eastAsia" w:ascii="宋体" w:hAnsi="宋体" w:eastAsia="宋体" w:cs="宋体"/>
                <w:b/>
                <w:bCs/>
                <w:color w:val="auto"/>
                <w:spacing w:val="9"/>
                <w:szCs w:val="21"/>
              </w:rPr>
              <w:t>金额</w:t>
            </w:r>
            <w:r>
              <w:rPr>
                <w:rFonts w:hint="eastAsia" w:ascii="宋体" w:hAnsi="宋体" w:eastAsia="宋体" w:cs="宋体"/>
                <w:color w:val="auto"/>
                <w:spacing w:val="9"/>
                <w:szCs w:val="21"/>
              </w:rPr>
              <w:t>、部分</w:t>
            </w:r>
            <w:r>
              <w:rPr>
                <w:rFonts w:hint="eastAsia" w:ascii="宋体" w:hAnsi="宋体" w:eastAsia="宋体" w:cs="宋体"/>
                <w:b/>
                <w:bCs/>
                <w:color w:val="auto"/>
                <w:spacing w:val="2"/>
                <w:szCs w:val="21"/>
              </w:rPr>
              <w:t>地址字符</w:t>
            </w:r>
            <w:r>
              <w:rPr>
                <w:rFonts w:hint="eastAsia" w:ascii="宋体" w:hAnsi="宋体" w:eastAsia="宋体" w:cs="宋体"/>
                <w:color w:val="auto"/>
                <w:spacing w:val="2"/>
                <w:szCs w:val="21"/>
              </w:rPr>
              <w:t>等信息，对链上交易特征进行全网扫描，实现法币虚拟币交易碰撞，</w:t>
            </w:r>
            <w:r>
              <w:rPr>
                <w:rFonts w:hint="eastAsia" w:ascii="宋体" w:hAnsi="宋体" w:eastAsia="宋体" w:cs="宋体"/>
                <w:color w:val="auto"/>
                <w:spacing w:val="8"/>
                <w:szCs w:val="21"/>
              </w:rPr>
              <w:t>挖掘未知嫌疑交易地址 。</w:t>
            </w:r>
          </w:p>
          <w:p w14:paraId="083CD0C9">
            <w:pPr>
              <w:numPr>
                <w:ilvl w:val="0"/>
                <w:numId w:val="11"/>
              </w:numPr>
              <w:rPr>
                <w:rFonts w:ascii="宋体" w:hAnsi="宋体" w:eastAsia="宋体" w:cs="宋体"/>
                <w:color w:val="auto"/>
                <w:szCs w:val="21"/>
              </w:rPr>
            </w:pPr>
            <w:r>
              <w:rPr>
                <w:rFonts w:hint="eastAsia" w:ascii="宋体" w:hAnsi="宋体" w:eastAsia="宋体" w:cs="宋体"/>
                <w:color w:val="auto"/>
                <w:spacing w:val="8"/>
                <w:szCs w:val="21"/>
              </w:rPr>
              <w:t>支持根据犯罪案件相关线索信息，基于</w:t>
            </w:r>
            <w:r>
              <w:rPr>
                <w:rFonts w:hint="eastAsia" w:ascii="宋体" w:hAnsi="宋体" w:eastAsia="宋体" w:cs="宋体"/>
                <w:b/>
                <w:bCs/>
                <w:color w:val="auto"/>
                <w:szCs w:val="21"/>
              </w:rPr>
              <w:t>TG</w:t>
            </w:r>
            <w:r>
              <w:rPr>
                <w:rFonts w:hint="eastAsia" w:ascii="宋体" w:hAnsi="宋体" w:eastAsia="宋体" w:cs="宋体"/>
                <w:b/>
                <w:bCs/>
                <w:color w:val="auto"/>
                <w:spacing w:val="8"/>
                <w:szCs w:val="21"/>
              </w:rPr>
              <w:t>汇旺</w:t>
            </w:r>
            <w:r>
              <w:rPr>
                <w:rFonts w:hint="eastAsia" w:ascii="宋体" w:hAnsi="宋体" w:eastAsia="宋体" w:cs="宋体"/>
                <w:color w:val="auto"/>
                <w:spacing w:val="8"/>
                <w:szCs w:val="21"/>
              </w:rPr>
              <w:t>公群聊天数据及</w:t>
            </w:r>
            <w:r>
              <w:rPr>
                <w:rFonts w:hint="eastAsia" w:ascii="宋体" w:hAnsi="宋体" w:eastAsia="宋体" w:cs="宋体"/>
                <w:b/>
                <w:bCs/>
                <w:color w:val="auto"/>
                <w:spacing w:val="8"/>
                <w:szCs w:val="21"/>
              </w:rPr>
              <w:t>开源情报</w:t>
            </w:r>
            <w:r>
              <w:rPr>
                <w:rFonts w:hint="eastAsia" w:ascii="宋体" w:hAnsi="宋体" w:eastAsia="宋体" w:cs="宋体"/>
                <w:color w:val="auto"/>
                <w:spacing w:val="8"/>
                <w:szCs w:val="21"/>
              </w:rPr>
              <w:t>数</w:t>
            </w:r>
            <w:r>
              <w:rPr>
                <w:rFonts w:hint="eastAsia" w:ascii="宋体" w:hAnsi="宋体" w:eastAsia="宋体" w:cs="宋体"/>
                <w:color w:val="auto"/>
                <w:spacing w:val="9"/>
                <w:szCs w:val="21"/>
              </w:rPr>
              <w:t>据，用户可通过输入虚拟币地址碰撞挖掘案件相关</w:t>
            </w:r>
            <w:r>
              <w:rPr>
                <w:rFonts w:hint="eastAsia" w:ascii="宋体" w:hAnsi="宋体" w:eastAsia="宋体" w:cs="宋体"/>
                <w:color w:val="auto"/>
                <w:spacing w:val="9"/>
                <w:szCs w:val="21"/>
                <w:lang w:val="en-US" w:eastAsia="zh-CN"/>
              </w:rPr>
              <w:t>YQ</w:t>
            </w:r>
            <w:bookmarkStart w:id="213" w:name="_GoBack"/>
            <w:bookmarkEnd w:id="213"/>
            <w:r>
              <w:rPr>
                <w:rFonts w:hint="eastAsia" w:ascii="宋体" w:hAnsi="宋体" w:eastAsia="宋体" w:cs="宋体"/>
                <w:color w:val="auto"/>
                <w:spacing w:val="9"/>
                <w:szCs w:val="21"/>
              </w:rPr>
              <w:t>信息。</w:t>
            </w:r>
          </w:p>
          <w:p w14:paraId="22BF58A8">
            <w:pPr>
              <w:numPr>
                <w:ilvl w:val="0"/>
                <w:numId w:val="11"/>
              </w:numPr>
              <w:rPr>
                <w:rFonts w:ascii="宋体" w:hAnsi="宋体" w:eastAsia="宋体" w:cs="宋体"/>
                <w:color w:val="auto"/>
                <w:szCs w:val="21"/>
              </w:rPr>
            </w:pPr>
            <w:r>
              <w:rPr>
                <w:rFonts w:hint="eastAsia" w:ascii="宋体" w:hAnsi="宋体" w:eastAsia="宋体" w:cs="宋体"/>
                <w:color w:val="auto"/>
                <w:spacing w:val="6"/>
                <w:szCs w:val="21"/>
              </w:rPr>
              <w:t>支持根据犯罪案件相关线索信息，基于</w:t>
            </w:r>
            <w:r>
              <w:rPr>
                <w:rFonts w:hint="eastAsia" w:ascii="宋体" w:hAnsi="宋体" w:eastAsia="宋体" w:cs="宋体"/>
                <w:b/>
                <w:bCs/>
                <w:color w:val="auto"/>
                <w:spacing w:val="6"/>
                <w:szCs w:val="21"/>
              </w:rPr>
              <w:t>波场</w:t>
            </w:r>
            <w:r>
              <w:rPr>
                <w:rFonts w:hint="eastAsia" w:ascii="宋体" w:hAnsi="宋体" w:eastAsia="宋体" w:cs="宋体"/>
                <w:color w:val="auto"/>
                <w:spacing w:val="6"/>
                <w:szCs w:val="21"/>
              </w:rPr>
              <w:t>交易备注数据，用户可通过输入</w:t>
            </w:r>
            <w:r>
              <w:rPr>
                <w:rFonts w:hint="eastAsia" w:ascii="宋体" w:hAnsi="宋体" w:eastAsia="宋体" w:cs="宋体"/>
                <w:b/>
                <w:bCs/>
                <w:color w:val="auto"/>
                <w:spacing w:val="7"/>
                <w:szCs w:val="21"/>
              </w:rPr>
              <w:t>关键词</w:t>
            </w:r>
            <w:r>
              <w:rPr>
                <w:rFonts w:hint="eastAsia" w:ascii="宋体" w:hAnsi="宋体" w:eastAsia="宋体" w:cs="宋体"/>
                <w:color w:val="auto"/>
                <w:spacing w:val="7"/>
                <w:szCs w:val="21"/>
              </w:rPr>
              <w:t>挖掘案件相关线索信息。</w:t>
            </w:r>
          </w:p>
          <w:p w14:paraId="067F463E">
            <w:pPr>
              <w:numPr>
                <w:ilvl w:val="0"/>
                <w:numId w:val="11"/>
              </w:numPr>
              <w:rPr>
                <w:rFonts w:ascii="宋体" w:hAnsi="宋体" w:eastAsia="宋体" w:cs="宋体"/>
                <w:color w:val="auto"/>
                <w:szCs w:val="21"/>
              </w:rPr>
            </w:pPr>
            <w:r>
              <w:rPr>
                <w:rFonts w:hint="eastAsia" w:ascii="宋体" w:hAnsi="宋体" w:eastAsia="宋体" w:cs="宋体"/>
                <w:color w:val="auto"/>
                <w:spacing w:val="8"/>
                <w:szCs w:val="21"/>
              </w:rPr>
              <w:t>支持根据犯罪案件相关线索信息，基于</w:t>
            </w:r>
            <w:r>
              <w:rPr>
                <w:rFonts w:hint="eastAsia" w:ascii="宋体" w:hAnsi="宋体" w:eastAsia="宋体" w:cs="宋体"/>
                <w:b/>
                <w:bCs/>
                <w:color w:val="auto"/>
                <w:szCs w:val="21"/>
              </w:rPr>
              <w:t>TG</w:t>
            </w:r>
            <w:r>
              <w:rPr>
                <w:rFonts w:hint="eastAsia" w:ascii="宋体" w:hAnsi="宋体" w:eastAsia="宋体" w:cs="宋体"/>
                <w:b/>
                <w:bCs/>
                <w:color w:val="auto"/>
                <w:spacing w:val="8"/>
                <w:szCs w:val="21"/>
              </w:rPr>
              <w:t>汇旺</w:t>
            </w:r>
            <w:r>
              <w:rPr>
                <w:rFonts w:hint="eastAsia" w:ascii="宋体" w:hAnsi="宋体" w:eastAsia="宋体" w:cs="宋体"/>
                <w:color w:val="auto"/>
                <w:spacing w:val="8"/>
                <w:szCs w:val="21"/>
              </w:rPr>
              <w:t>公群聊天数据及</w:t>
            </w:r>
            <w:r>
              <w:rPr>
                <w:rFonts w:hint="eastAsia" w:ascii="宋体" w:hAnsi="宋体" w:eastAsia="宋体" w:cs="宋体"/>
                <w:b/>
                <w:bCs/>
                <w:color w:val="auto"/>
                <w:spacing w:val="8"/>
                <w:szCs w:val="21"/>
              </w:rPr>
              <w:t>开源情报</w:t>
            </w:r>
            <w:r>
              <w:rPr>
                <w:rFonts w:hint="eastAsia" w:ascii="宋体" w:hAnsi="宋体" w:eastAsia="宋体" w:cs="宋体"/>
                <w:color w:val="auto"/>
                <w:spacing w:val="8"/>
                <w:szCs w:val="21"/>
              </w:rPr>
              <w:t>数</w:t>
            </w:r>
            <w:r>
              <w:rPr>
                <w:rFonts w:hint="eastAsia" w:ascii="宋体" w:hAnsi="宋体" w:eastAsia="宋体" w:cs="宋体"/>
                <w:color w:val="auto"/>
                <w:spacing w:val="9"/>
                <w:szCs w:val="21"/>
              </w:rPr>
              <w:t>据，用户可通过输入</w:t>
            </w:r>
            <w:r>
              <w:rPr>
                <w:rFonts w:hint="eastAsia" w:ascii="宋体" w:hAnsi="宋体" w:eastAsia="宋体" w:cs="宋体"/>
                <w:b/>
                <w:bCs/>
                <w:color w:val="auto"/>
                <w:spacing w:val="9"/>
                <w:szCs w:val="21"/>
              </w:rPr>
              <w:t>关键词</w:t>
            </w:r>
            <w:r>
              <w:rPr>
                <w:rFonts w:hint="eastAsia" w:ascii="宋体" w:hAnsi="宋体" w:eastAsia="宋体" w:cs="宋体"/>
                <w:color w:val="auto"/>
                <w:spacing w:val="9"/>
                <w:szCs w:val="21"/>
              </w:rPr>
              <w:t>挖掘案件相关线索信息。</w:t>
            </w:r>
          </w:p>
          <w:p w14:paraId="7F782F0E">
            <w:pPr>
              <w:numPr>
                <w:ilvl w:val="0"/>
                <w:numId w:val="11"/>
              </w:numPr>
              <w:rPr>
                <w:rFonts w:ascii="宋体" w:hAnsi="宋体" w:eastAsia="宋体" w:cs="宋体"/>
                <w:color w:val="auto"/>
                <w:szCs w:val="21"/>
              </w:rPr>
            </w:pPr>
            <w:r>
              <w:rPr>
                <w:rFonts w:hint="eastAsia" w:ascii="宋体" w:hAnsi="宋体" w:eastAsia="宋体" w:cs="宋体"/>
                <w:color w:val="auto"/>
                <w:szCs w:val="21"/>
              </w:rPr>
              <w:t>支持通过搜索公群或用户关键信息，对指定公群进行全面分析，一键生成“公</w:t>
            </w:r>
            <w:r>
              <w:rPr>
                <w:rFonts w:hint="eastAsia" w:ascii="宋体" w:hAnsi="宋体" w:eastAsia="宋体" w:cs="宋体"/>
                <w:color w:val="auto"/>
                <w:spacing w:val="6"/>
                <w:szCs w:val="21"/>
              </w:rPr>
              <w:t>群/用户画像”，形成研判报告。</w:t>
            </w:r>
          </w:p>
          <w:p w14:paraId="6B64755D">
            <w:pPr>
              <w:numPr>
                <w:ilvl w:val="0"/>
                <w:numId w:val="11"/>
              </w:numPr>
              <w:rPr>
                <w:rFonts w:ascii="宋体" w:hAnsi="宋体" w:eastAsia="宋体" w:cs="宋体"/>
                <w:color w:val="auto"/>
                <w:szCs w:val="21"/>
              </w:rPr>
            </w:pPr>
            <w:r>
              <w:rPr>
                <w:rFonts w:hint="eastAsia" w:ascii="宋体" w:hAnsi="宋体" w:eastAsia="宋体" w:cs="宋体"/>
                <w:color w:val="auto"/>
                <w:spacing w:val="9"/>
                <w:szCs w:val="21"/>
              </w:rPr>
              <w:t>支持根据犯罪案件相关线索信息，基于</w:t>
            </w:r>
            <w:r>
              <w:rPr>
                <w:rFonts w:hint="eastAsia" w:ascii="宋体" w:hAnsi="宋体" w:eastAsia="宋体" w:cs="宋体"/>
                <w:color w:val="auto"/>
                <w:szCs w:val="21"/>
              </w:rPr>
              <w:t>TG</w:t>
            </w:r>
            <w:r>
              <w:rPr>
                <w:rFonts w:hint="eastAsia" w:ascii="宋体" w:hAnsi="宋体" w:eastAsia="宋体" w:cs="宋体"/>
                <w:color w:val="auto"/>
                <w:spacing w:val="9"/>
                <w:szCs w:val="21"/>
              </w:rPr>
              <w:t>汇旺公群聊天数据、波</w:t>
            </w:r>
            <w:r>
              <w:rPr>
                <w:rFonts w:hint="eastAsia" w:ascii="宋体" w:hAnsi="宋体" w:eastAsia="宋体" w:cs="宋体"/>
                <w:color w:val="auto"/>
                <w:spacing w:val="8"/>
                <w:szCs w:val="21"/>
              </w:rPr>
              <w:t>场交易备注及开源情报数据，用户可通过输入</w:t>
            </w:r>
            <w:r>
              <w:rPr>
                <w:rFonts w:hint="eastAsia" w:ascii="宋体" w:hAnsi="宋体" w:eastAsia="宋体" w:cs="宋体"/>
                <w:b/>
                <w:bCs/>
                <w:color w:val="auto"/>
                <w:spacing w:val="8"/>
                <w:szCs w:val="21"/>
              </w:rPr>
              <w:t>关键词/群号订阅</w:t>
            </w:r>
            <w:r>
              <w:rPr>
                <w:rFonts w:hint="eastAsia" w:ascii="宋体" w:hAnsi="宋体" w:eastAsia="宋体" w:cs="宋体"/>
                <w:color w:val="auto"/>
                <w:spacing w:val="8"/>
                <w:szCs w:val="21"/>
              </w:rPr>
              <w:t>案件相关线索信息。</w:t>
            </w:r>
          </w:p>
          <w:p w14:paraId="04901A81">
            <w:pPr>
              <w:numPr>
                <w:ilvl w:val="0"/>
                <w:numId w:val="11"/>
              </w:numPr>
              <w:rPr>
                <w:rFonts w:ascii="宋体" w:hAnsi="宋体" w:eastAsia="宋体" w:cs="宋体"/>
                <w:color w:val="auto"/>
                <w:szCs w:val="21"/>
              </w:rPr>
            </w:pPr>
            <w:r>
              <w:rPr>
                <w:rFonts w:hint="eastAsia" w:ascii="宋体" w:hAnsi="宋体" w:eastAsia="宋体" w:cs="宋体"/>
                <w:color w:val="auto"/>
                <w:spacing w:val="6"/>
                <w:szCs w:val="21"/>
              </w:rPr>
              <w:t>涉区块链、虚拟货币犯罪的培训服务1次。</w:t>
            </w:r>
          </w:p>
          <w:p w14:paraId="621DA85C">
            <w:pPr>
              <w:numPr>
                <w:ilvl w:val="0"/>
                <w:numId w:val="11"/>
              </w:numPr>
              <w:rPr>
                <w:rFonts w:ascii="宋体" w:hAnsi="宋体" w:eastAsia="宋体" w:cs="宋体"/>
                <w:color w:val="auto"/>
                <w:szCs w:val="21"/>
              </w:rPr>
            </w:pPr>
            <w:r>
              <w:rPr>
                <w:rFonts w:hint="eastAsia" w:ascii="宋体" w:hAnsi="宋体" w:eastAsia="宋体" w:cs="宋体"/>
                <w:color w:val="auto"/>
                <w:spacing w:val="11"/>
                <w:szCs w:val="21"/>
              </w:rPr>
              <w:t>涉虚拟货币案件配侦服务2次。</w:t>
            </w:r>
          </w:p>
        </w:tc>
        <w:tc>
          <w:tcPr>
            <w:tcW w:w="521" w:type="pct"/>
            <w:noWrap w:val="0"/>
            <w:vAlign w:val="center"/>
          </w:tcPr>
          <w:p w14:paraId="1D0718BC">
            <w:pPr>
              <w:pStyle w:val="199"/>
              <w:spacing w:line="360" w:lineRule="auto"/>
              <w:ind w:firstLine="0"/>
              <w:jc w:val="center"/>
              <w:rPr>
                <w:rFonts w:ascii="宋体" w:hAnsi="宋体" w:cs="宋体"/>
                <w:b/>
                <w:color w:val="auto"/>
                <w:szCs w:val="21"/>
              </w:rPr>
            </w:pPr>
            <w:r>
              <w:rPr>
                <w:rFonts w:hint="eastAsia" w:ascii="宋体" w:hAnsi="宋体" w:cs="宋体"/>
                <w:b/>
                <w:color w:val="auto"/>
                <w:szCs w:val="21"/>
              </w:rPr>
              <w:t>1基础+1研判</w:t>
            </w:r>
          </w:p>
        </w:tc>
        <w:tc>
          <w:tcPr>
            <w:tcW w:w="405" w:type="pct"/>
            <w:noWrap w:val="0"/>
            <w:vAlign w:val="center"/>
          </w:tcPr>
          <w:p w14:paraId="17AA5DDD">
            <w:pPr>
              <w:pStyle w:val="199"/>
              <w:spacing w:line="360" w:lineRule="auto"/>
              <w:ind w:firstLine="0"/>
              <w:jc w:val="center"/>
              <w:rPr>
                <w:rFonts w:ascii="宋体" w:hAnsi="宋体" w:cs="宋体"/>
                <w:b/>
                <w:color w:val="auto"/>
                <w:szCs w:val="21"/>
              </w:rPr>
            </w:pPr>
            <w:r>
              <w:rPr>
                <w:rFonts w:hint="eastAsia" w:ascii="宋体" w:hAnsi="宋体" w:cs="宋体"/>
                <w:b/>
                <w:color w:val="auto"/>
                <w:szCs w:val="21"/>
              </w:rPr>
              <w:t>1年</w:t>
            </w:r>
          </w:p>
        </w:tc>
      </w:tr>
    </w:tbl>
    <w:p w14:paraId="0BFFCE06">
      <w:pPr>
        <w:pStyle w:val="199"/>
        <w:widowControl/>
        <w:spacing w:line="360" w:lineRule="auto"/>
        <w:ind w:firstLine="422"/>
        <w:jc w:val="left"/>
        <w:rPr>
          <w:rFonts w:ascii="宋体" w:hAnsi="宋体" w:cs="宋体"/>
          <w:b/>
          <w:color w:val="auto"/>
          <w:szCs w:val="21"/>
        </w:rPr>
      </w:pPr>
      <w:r>
        <w:rPr>
          <w:rFonts w:hint="eastAsia" w:ascii="宋体" w:hAnsi="宋体" w:cs="宋体"/>
          <w:b/>
          <w:color w:val="auto"/>
          <w:szCs w:val="21"/>
        </w:rPr>
        <w:t>二、售后服务要求</w:t>
      </w:r>
    </w:p>
    <w:p w14:paraId="454A73A1">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★1.中标人应提供售后服务承诺书、联系人和联系电话，能够长期提供良好的技术支持。</w:t>
      </w:r>
    </w:p>
    <w:p w14:paraId="3D4A139F">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★2.服务响应时间要求：提供7×24小时电话响应服务，响应时间为1小时。</w:t>
      </w:r>
    </w:p>
    <w:p w14:paraId="5EA4CCFD">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★3.中标人应能提供多种形式的技术支持服务，解决软件出现的技术问题。</w:t>
      </w:r>
    </w:p>
    <w:p w14:paraId="4ECE84A6">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★4.投标人应按其投标文件中的承诺，进行其他售后服务工作。</w:t>
      </w:r>
    </w:p>
    <w:p w14:paraId="5452662A">
      <w:pPr>
        <w:pStyle w:val="199"/>
        <w:widowControl/>
        <w:spacing w:line="360" w:lineRule="auto"/>
        <w:ind w:firstLine="422"/>
        <w:jc w:val="left"/>
        <w:rPr>
          <w:rFonts w:ascii="宋体" w:hAnsi="宋体" w:cs="宋体"/>
          <w:b/>
          <w:i/>
          <w:iCs/>
          <w:color w:val="auto"/>
          <w:szCs w:val="21"/>
          <w:highlight w:val="yellow"/>
          <w:u w:val="single"/>
        </w:rPr>
      </w:pPr>
      <w:r>
        <w:rPr>
          <w:rFonts w:hint="eastAsia" w:ascii="宋体" w:hAnsi="宋体" w:cs="宋体"/>
          <w:b/>
          <w:i/>
          <w:iCs/>
          <w:color w:val="auto"/>
          <w:szCs w:val="21"/>
          <w:highlight w:val="none"/>
          <w:u w:val="single"/>
        </w:rPr>
        <w:t>说明：以上四项（标★项）为实质性要求，投标时提供以上响应承诺函加盖投标人公章（格式自拟），未提供的按未实质性响应处理。</w:t>
      </w:r>
    </w:p>
    <w:p w14:paraId="7A0D7DD0">
      <w:pPr>
        <w:pStyle w:val="199"/>
        <w:widowControl/>
        <w:spacing w:line="360" w:lineRule="auto"/>
        <w:ind w:firstLine="422"/>
        <w:jc w:val="left"/>
        <w:rPr>
          <w:rFonts w:ascii="宋体" w:hAnsi="宋体" w:cs="宋体"/>
          <w:b/>
          <w:color w:val="auto"/>
          <w:szCs w:val="21"/>
        </w:rPr>
      </w:pPr>
      <w:r>
        <w:rPr>
          <w:rFonts w:hint="eastAsia" w:ascii="宋体" w:hAnsi="宋体" w:cs="宋体"/>
          <w:b/>
          <w:color w:val="auto"/>
          <w:szCs w:val="21"/>
        </w:rPr>
        <w:t>三、验收说明</w:t>
      </w:r>
    </w:p>
    <w:p w14:paraId="6867DCAA">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按照招标文件规定的技术、服务等要求由采购人组织对中标人履约的验收。</w:t>
      </w:r>
    </w:p>
    <w:p w14:paraId="047AD4D6">
      <w:pPr>
        <w:pStyle w:val="199"/>
        <w:widowControl/>
        <w:spacing w:line="360" w:lineRule="auto"/>
        <w:ind w:firstLine="422"/>
        <w:jc w:val="left"/>
        <w:rPr>
          <w:rFonts w:ascii="宋体" w:hAnsi="宋体" w:cs="宋体"/>
          <w:b/>
          <w:color w:val="auto"/>
          <w:szCs w:val="21"/>
        </w:rPr>
      </w:pPr>
      <w:r>
        <w:rPr>
          <w:rFonts w:hint="eastAsia" w:ascii="宋体" w:hAnsi="宋体" w:cs="宋体"/>
          <w:b/>
          <w:color w:val="auto"/>
          <w:szCs w:val="21"/>
        </w:rPr>
        <w:t>四、培训要求</w:t>
      </w:r>
    </w:p>
    <w:p w14:paraId="05540704">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★1.投标人提供免费上门培训，有完善的培训计划，并附详细培训课程。</w:t>
      </w:r>
    </w:p>
    <w:p w14:paraId="22A2CC33">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★2.投标人提供技术资料完善，产品介绍详细，产品功能贴近实战。</w:t>
      </w:r>
    </w:p>
    <w:p w14:paraId="47494279">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★3.售后服务方案具体、详细、合理可行，可操作性强。</w:t>
      </w:r>
    </w:p>
    <w:p w14:paraId="266BAD91">
      <w:pPr>
        <w:pStyle w:val="199"/>
        <w:widowControl/>
        <w:spacing w:line="360" w:lineRule="auto"/>
        <w:ind w:firstLine="422"/>
        <w:jc w:val="left"/>
        <w:rPr>
          <w:rFonts w:ascii="宋体" w:hAnsi="宋体" w:cs="宋体"/>
          <w:b/>
          <w:color w:val="auto"/>
          <w:szCs w:val="21"/>
          <w:highlight w:val="none"/>
        </w:rPr>
      </w:pPr>
      <w:r>
        <w:rPr>
          <w:rFonts w:hint="eastAsia" w:ascii="宋体" w:hAnsi="宋体" w:cs="宋体"/>
          <w:b/>
          <w:i/>
          <w:iCs/>
          <w:color w:val="auto"/>
          <w:szCs w:val="21"/>
          <w:highlight w:val="none"/>
          <w:u w:val="single"/>
        </w:rPr>
        <w:t>说明：以上三项（标★项）为实质性要求，投标时提供以上响应服务内容并加盖投标人公章，未提供的按未实质性响应处理</w:t>
      </w:r>
      <w:r>
        <w:rPr>
          <w:rFonts w:hint="eastAsia" w:ascii="宋体" w:hAnsi="宋体" w:cs="宋体"/>
          <w:b/>
          <w:color w:val="auto"/>
          <w:szCs w:val="21"/>
          <w:highlight w:val="none"/>
        </w:rPr>
        <w:t>。</w:t>
      </w:r>
    </w:p>
    <w:p w14:paraId="58CC04EE">
      <w:pPr>
        <w:pStyle w:val="199"/>
        <w:widowControl/>
        <w:spacing w:line="360" w:lineRule="auto"/>
        <w:ind w:firstLine="422"/>
        <w:jc w:val="left"/>
        <w:rPr>
          <w:rFonts w:ascii="宋体" w:hAnsi="宋体" w:cs="宋体"/>
          <w:b/>
          <w:color w:val="auto"/>
          <w:szCs w:val="21"/>
        </w:rPr>
      </w:pPr>
      <w:r>
        <w:rPr>
          <w:rFonts w:hint="eastAsia" w:ascii="宋体" w:hAnsi="宋体" w:cs="宋体"/>
          <w:b/>
          <w:color w:val="auto"/>
          <w:szCs w:val="21"/>
        </w:rPr>
        <w:t>五、其他要求</w:t>
      </w:r>
    </w:p>
    <w:p w14:paraId="6EB8603E">
      <w:pPr>
        <w:pStyle w:val="199"/>
        <w:widowControl/>
        <w:spacing w:line="360" w:lineRule="auto"/>
        <w:jc w:val="left"/>
        <w:rPr>
          <w:rFonts w:ascii="宋体" w:hAnsi="宋体" w:cs="宋体"/>
          <w:bCs/>
          <w:color w:val="auto"/>
          <w:szCs w:val="21"/>
        </w:rPr>
      </w:pPr>
      <w:r>
        <w:rPr>
          <w:rFonts w:hint="eastAsia" w:ascii="宋体" w:hAnsi="宋体" w:cs="宋体"/>
          <w:bCs/>
          <w:color w:val="auto"/>
          <w:szCs w:val="21"/>
        </w:rPr>
        <w:t>1.每季度提供各系统各账号使用情况分析报告1份；</w:t>
      </w:r>
    </w:p>
    <w:p w14:paraId="4268785F">
      <w:pPr>
        <w:pStyle w:val="32"/>
        <w:spacing w:beforeAutospacing="0" w:afterAutospacing="0" w:line="360" w:lineRule="auto"/>
        <w:ind w:firstLine="480"/>
        <w:jc w:val="both"/>
        <w:rPr>
          <w:rFonts w:ascii="宋体" w:hAnsi="宋体" w:eastAsia="宋体" w:cs="宋体"/>
          <w:bCs/>
          <w:color w:val="auto"/>
          <w:sz w:val="21"/>
          <w:szCs w:val="21"/>
        </w:rPr>
      </w:pPr>
      <w:r>
        <w:rPr>
          <w:rFonts w:hint="eastAsia" w:ascii="宋体" w:hAnsi="宋体" w:eastAsia="宋体" w:cs="宋体"/>
          <w:bCs/>
          <w:color w:val="auto"/>
          <w:sz w:val="21"/>
          <w:szCs w:val="21"/>
        </w:rPr>
        <w:t>2.服务期内盐城地区各级公安机关追加购买账号单价不高于本项目成交单价。</w:t>
      </w:r>
    </w:p>
    <w:p w14:paraId="4FABD95C">
      <w:pPr>
        <w:pStyle w:val="32"/>
        <w:spacing w:beforeAutospacing="0" w:afterAutospacing="0" w:line="360" w:lineRule="auto"/>
        <w:jc w:val="both"/>
        <w:rPr>
          <w:rFonts w:ascii="宋体" w:hAnsi="宋体" w:eastAsia="宋体" w:cs="宋体"/>
          <w:b/>
          <w:bCs/>
          <w:color w:val="auto"/>
          <w:sz w:val="21"/>
          <w:szCs w:val="21"/>
        </w:rPr>
      </w:pPr>
    </w:p>
    <w:p w14:paraId="618BE524">
      <w:pPr>
        <w:pStyle w:val="32"/>
        <w:spacing w:beforeAutospacing="0" w:afterAutospacing="0" w:line="360" w:lineRule="auto"/>
        <w:ind w:firstLine="480"/>
        <w:jc w:val="both"/>
        <w:rPr>
          <w:rFonts w:ascii="宋体" w:hAnsi="宋体" w:eastAsia="宋体" w:cs="宋体"/>
          <w:b/>
          <w:bCs/>
          <w:color w:val="auto"/>
          <w:sz w:val="21"/>
          <w:szCs w:val="21"/>
        </w:rPr>
      </w:pPr>
    </w:p>
    <w:p w14:paraId="1761F9ED">
      <w:pPr>
        <w:pStyle w:val="32"/>
        <w:spacing w:beforeAutospacing="0" w:afterAutospacing="0" w:line="360" w:lineRule="auto"/>
        <w:ind w:firstLine="480"/>
        <w:jc w:val="both"/>
        <w:rPr>
          <w:rFonts w:ascii="宋体" w:hAnsi="宋体" w:eastAsia="宋体" w:cs="宋体"/>
          <w:b/>
          <w:bCs/>
          <w:color w:val="auto"/>
          <w:sz w:val="21"/>
          <w:szCs w:val="21"/>
        </w:rPr>
      </w:pPr>
      <w:r>
        <w:rPr>
          <w:rFonts w:hint="eastAsia" w:ascii="宋体" w:hAnsi="宋体" w:eastAsia="宋体" w:cs="宋体"/>
          <w:b/>
          <w:bCs/>
          <w:color w:val="auto"/>
          <w:sz w:val="21"/>
          <w:szCs w:val="21"/>
        </w:rPr>
        <w:t>采购标的对应的中小企业划分标准所属行业一览表</w:t>
      </w:r>
    </w:p>
    <w:tbl>
      <w:tblPr>
        <w:tblStyle w:val="35"/>
        <w:tblW w:w="7834" w:type="dxa"/>
        <w:jc w:val="center"/>
        <w:tblCellSpacing w:w="0" w:type="dxa"/>
        <w:tblLayout w:type="fixed"/>
        <w:tblCellMar>
          <w:top w:w="0" w:type="dxa"/>
          <w:left w:w="108" w:type="dxa"/>
          <w:bottom w:w="0" w:type="dxa"/>
          <w:right w:w="108" w:type="dxa"/>
        </w:tblCellMar>
      </w:tblPr>
      <w:tblGrid>
        <w:gridCol w:w="830"/>
        <w:gridCol w:w="3427"/>
        <w:gridCol w:w="3577"/>
      </w:tblGrid>
      <w:tr w14:paraId="10F12BD2">
        <w:tblPrEx>
          <w:tblCellMar>
            <w:top w:w="0" w:type="dxa"/>
            <w:left w:w="108" w:type="dxa"/>
            <w:bottom w:w="0" w:type="dxa"/>
            <w:right w:w="108" w:type="dxa"/>
          </w:tblCellMar>
        </w:tblPrEx>
        <w:trPr>
          <w:tblCellSpacing w:w="0" w:type="dxa"/>
          <w:jc w:val="center"/>
        </w:trPr>
        <w:tc>
          <w:tcPr>
            <w:tcW w:w="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F3E78B">
            <w:pPr>
              <w:pStyle w:val="32"/>
              <w:spacing w:beforeAutospacing="0" w:afterAutospacing="0" w:line="360" w:lineRule="auto"/>
              <w:jc w:val="center"/>
              <w:rPr>
                <w:rFonts w:ascii="宋体" w:hAnsi="宋体" w:eastAsia="宋体" w:cs="宋体"/>
                <w:color w:val="auto"/>
                <w:sz w:val="21"/>
                <w:szCs w:val="21"/>
              </w:rPr>
            </w:pPr>
            <w:r>
              <w:rPr>
                <w:rFonts w:hint="eastAsia" w:ascii="宋体" w:hAnsi="宋体" w:eastAsia="宋体" w:cs="宋体"/>
                <w:color w:val="auto"/>
                <w:sz w:val="21"/>
                <w:szCs w:val="21"/>
              </w:rPr>
              <w:t>序号</w:t>
            </w:r>
          </w:p>
        </w:tc>
        <w:tc>
          <w:tcPr>
            <w:tcW w:w="34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D8E32C">
            <w:pPr>
              <w:pStyle w:val="32"/>
              <w:spacing w:beforeAutospacing="0" w:afterAutospacing="0" w:line="360" w:lineRule="auto"/>
              <w:ind w:firstLine="480"/>
              <w:jc w:val="center"/>
              <w:rPr>
                <w:rFonts w:ascii="宋体" w:hAnsi="宋体" w:eastAsia="宋体" w:cs="宋体"/>
                <w:color w:val="auto"/>
                <w:sz w:val="21"/>
                <w:szCs w:val="21"/>
              </w:rPr>
            </w:pPr>
            <w:r>
              <w:rPr>
                <w:rFonts w:hint="eastAsia" w:ascii="宋体" w:hAnsi="宋体" w:eastAsia="宋体" w:cs="宋体"/>
                <w:color w:val="auto"/>
                <w:sz w:val="21"/>
                <w:szCs w:val="21"/>
              </w:rPr>
              <w:t>采购标的</w:t>
            </w:r>
          </w:p>
        </w:tc>
        <w:tc>
          <w:tcPr>
            <w:tcW w:w="35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8B3664">
            <w:pPr>
              <w:pStyle w:val="32"/>
              <w:spacing w:beforeAutospacing="0" w:afterAutospacing="0" w:line="360" w:lineRule="auto"/>
              <w:jc w:val="center"/>
              <w:rPr>
                <w:rFonts w:ascii="宋体" w:hAnsi="宋体" w:eastAsia="宋体" w:cs="宋体"/>
                <w:color w:val="auto"/>
                <w:sz w:val="21"/>
                <w:szCs w:val="21"/>
              </w:rPr>
            </w:pPr>
            <w:r>
              <w:rPr>
                <w:rFonts w:hint="eastAsia" w:ascii="宋体" w:hAnsi="宋体" w:eastAsia="宋体" w:cs="宋体"/>
                <w:color w:val="auto"/>
                <w:sz w:val="21"/>
                <w:szCs w:val="21"/>
              </w:rPr>
              <w:t>对应中小企业划分标准所属行业</w:t>
            </w:r>
          </w:p>
        </w:tc>
      </w:tr>
      <w:tr w14:paraId="601662EE">
        <w:tblPrEx>
          <w:tblCellMar>
            <w:top w:w="0" w:type="dxa"/>
            <w:left w:w="108" w:type="dxa"/>
            <w:bottom w:w="0" w:type="dxa"/>
            <w:right w:w="108" w:type="dxa"/>
          </w:tblCellMar>
        </w:tblPrEx>
        <w:trPr>
          <w:trHeight w:val="708" w:hRule="atLeast"/>
          <w:tblCellSpacing w:w="0" w:type="dxa"/>
          <w:jc w:val="center"/>
        </w:trPr>
        <w:tc>
          <w:tcPr>
            <w:tcW w:w="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E840EF">
            <w:pPr>
              <w:pStyle w:val="32"/>
              <w:spacing w:beforeAutospacing="0" w:afterAutospacing="0" w:line="360" w:lineRule="auto"/>
              <w:jc w:val="center"/>
              <w:rPr>
                <w:rFonts w:ascii="宋体" w:hAnsi="宋体" w:eastAsia="宋体" w:cs="宋体"/>
                <w:color w:val="auto"/>
                <w:sz w:val="21"/>
                <w:szCs w:val="21"/>
              </w:rPr>
            </w:pPr>
            <w:r>
              <w:rPr>
                <w:rFonts w:hint="eastAsia" w:ascii="宋体" w:hAnsi="宋体" w:eastAsia="宋体" w:cs="宋体"/>
                <w:color w:val="auto"/>
                <w:sz w:val="21"/>
                <w:szCs w:val="21"/>
              </w:rPr>
              <w:t>1</w:t>
            </w:r>
          </w:p>
        </w:tc>
        <w:tc>
          <w:tcPr>
            <w:tcW w:w="34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E98BC3">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盐城市公安局</w:t>
            </w:r>
            <w:r>
              <w:rPr>
                <w:rFonts w:hint="eastAsia" w:ascii="宋体" w:hAnsi="宋体" w:eastAsia="宋体" w:cs="宋体"/>
                <w:color w:val="auto"/>
                <w:sz w:val="21"/>
                <w:szCs w:val="21"/>
                <w:lang w:eastAsia="zh-CN"/>
              </w:rPr>
              <w:t>侦查研判类</w:t>
            </w:r>
            <w:r>
              <w:rPr>
                <w:rFonts w:hint="eastAsia" w:ascii="宋体" w:hAnsi="宋体" w:eastAsia="宋体" w:cs="宋体"/>
                <w:color w:val="auto"/>
                <w:sz w:val="21"/>
                <w:szCs w:val="21"/>
              </w:rPr>
              <w:t>互联网数据支撑服务项目</w:t>
            </w:r>
          </w:p>
        </w:tc>
        <w:tc>
          <w:tcPr>
            <w:tcW w:w="35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B32B48">
            <w:pPr>
              <w:pStyle w:val="32"/>
              <w:spacing w:beforeAutospacing="0" w:afterAutospacing="0" w:line="360" w:lineRule="auto"/>
              <w:jc w:val="center"/>
              <w:rPr>
                <w:rFonts w:ascii="宋体" w:hAnsi="宋体" w:eastAsia="宋体" w:cs="宋体"/>
                <w:color w:val="auto"/>
                <w:sz w:val="21"/>
                <w:szCs w:val="21"/>
              </w:rPr>
            </w:pPr>
            <w:r>
              <w:rPr>
                <w:rFonts w:hint="eastAsia" w:ascii="宋体" w:hAnsi="宋体" w:eastAsia="宋体" w:cs="宋体"/>
                <w:color w:val="auto"/>
                <w:sz w:val="21"/>
                <w:szCs w:val="21"/>
              </w:rPr>
              <w:t>软件和信息技术服务业</w:t>
            </w:r>
          </w:p>
        </w:tc>
      </w:tr>
    </w:tbl>
    <w:p w14:paraId="1C68F971">
      <w:pPr>
        <w:rPr>
          <w:color w:val="auto"/>
        </w:rPr>
      </w:pPr>
      <w:bookmarkStart w:id="189" w:name="_Toc120614281"/>
    </w:p>
    <w:p w14:paraId="5A4BAA98">
      <w:pPr>
        <w:rPr>
          <w:color w:val="auto"/>
        </w:rPr>
      </w:pPr>
    </w:p>
    <w:p w14:paraId="30B653CE">
      <w:pPr>
        <w:rPr>
          <w:color w:val="auto"/>
        </w:rPr>
      </w:pPr>
    </w:p>
    <w:p w14:paraId="620B60A5">
      <w:pPr>
        <w:rPr>
          <w:color w:val="auto"/>
        </w:rPr>
      </w:pPr>
    </w:p>
    <w:p w14:paraId="158A9080">
      <w:pPr>
        <w:rPr>
          <w:color w:val="auto"/>
        </w:rPr>
      </w:pPr>
    </w:p>
    <w:p w14:paraId="7429E1A1">
      <w:pPr>
        <w:rPr>
          <w:color w:val="auto"/>
        </w:rPr>
      </w:pPr>
    </w:p>
    <w:p w14:paraId="6BD6AE38">
      <w:pPr>
        <w:pStyle w:val="2"/>
        <w:rPr>
          <w:color w:val="auto"/>
        </w:rPr>
      </w:pPr>
    </w:p>
    <w:p w14:paraId="655A7E25">
      <w:pPr>
        <w:pStyle w:val="2"/>
        <w:rPr>
          <w:color w:val="auto"/>
        </w:rPr>
      </w:pPr>
    </w:p>
    <w:p w14:paraId="510FA7FE">
      <w:pPr>
        <w:pStyle w:val="2"/>
        <w:rPr>
          <w:color w:val="auto"/>
        </w:rPr>
      </w:pPr>
    </w:p>
    <w:p w14:paraId="41A253EE">
      <w:pPr>
        <w:pStyle w:val="2"/>
        <w:rPr>
          <w:color w:val="auto"/>
        </w:rPr>
      </w:pPr>
    </w:p>
    <w:p w14:paraId="3EB4865B">
      <w:pPr>
        <w:pStyle w:val="2"/>
        <w:rPr>
          <w:color w:val="auto"/>
        </w:rPr>
      </w:pPr>
    </w:p>
    <w:p w14:paraId="32661F68">
      <w:pPr>
        <w:pStyle w:val="2"/>
        <w:rPr>
          <w:color w:val="auto"/>
        </w:rPr>
      </w:pPr>
    </w:p>
    <w:p w14:paraId="2160FFD0">
      <w:pPr>
        <w:pStyle w:val="2"/>
        <w:rPr>
          <w:color w:val="auto"/>
        </w:rPr>
      </w:pPr>
    </w:p>
    <w:p w14:paraId="4E9B6BD3">
      <w:pPr>
        <w:pStyle w:val="2"/>
        <w:rPr>
          <w:color w:val="auto"/>
        </w:rPr>
      </w:pPr>
    </w:p>
    <w:p w14:paraId="2EE1BF91">
      <w:pPr>
        <w:pStyle w:val="2"/>
        <w:rPr>
          <w:color w:val="auto"/>
        </w:rPr>
      </w:pPr>
    </w:p>
    <w:p w14:paraId="5941EE71">
      <w:pPr>
        <w:pStyle w:val="2"/>
        <w:rPr>
          <w:color w:val="auto"/>
        </w:rPr>
      </w:pPr>
    </w:p>
    <w:p w14:paraId="50920E39">
      <w:pPr>
        <w:pStyle w:val="2"/>
        <w:rPr>
          <w:color w:val="auto"/>
        </w:rPr>
      </w:pPr>
    </w:p>
    <w:p w14:paraId="1396ED12">
      <w:pPr>
        <w:pStyle w:val="2"/>
        <w:rPr>
          <w:color w:val="auto"/>
        </w:rPr>
      </w:pPr>
    </w:p>
    <w:p w14:paraId="698AA782">
      <w:pPr>
        <w:pStyle w:val="2"/>
        <w:rPr>
          <w:color w:val="auto"/>
        </w:rPr>
      </w:pPr>
    </w:p>
    <w:p w14:paraId="5428CAB2">
      <w:pPr>
        <w:rPr>
          <w:color w:val="auto"/>
        </w:rPr>
      </w:pPr>
    </w:p>
    <w:p w14:paraId="6ADB715E">
      <w:pPr>
        <w:rPr>
          <w:color w:val="auto"/>
        </w:rPr>
      </w:pPr>
    </w:p>
    <w:p w14:paraId="09FB5C04">
      <w:pPr>
        <w:pStyle w:val="189"/>
        <w:rPr>
          <w:color w:val="auto"/>
        </w:rPr>
      </w:pPr>
    </w:p>
    <w:p w14:paraId="301D005A">
      <w:pPr>
        <w:pStyle w:val="32"/>
        <w:keepNext/>
        <w:spacing w:beforeAutospacing="0" w:afterAutospacing="0"/>
        <w:jc w:val="center"/>
        <w:outlineLvl w:val="0"/>
        <w:rPr>
          <w:rFonts w:ascii="黑体" w:hAnsi="宋体" w:eastAsia="黑体" w:cs="黑体"/>
          <w:color w:val="auto"/>
          <w:sz w:val="44"/>
          <w:szCs w:val="44"/>
        </w:rPr>
      </w:pPr>
      <w:r>
        <w:rPr>
          <w:rFonts w:hint="eastAsia" w:ascii="黑体" w:hAnsi="宋体" w:eastAsia="黑体" w:cs="黑体"/>
          <w:color w:val="auto"/>
          <w:sz w:val="44"/>
          <w:szCs w:val="44"/>
        </w:rPr>
        <w:t>第五章  评标方法与评标标准</w:t>
      </w:r>
    </w:p>
    <w:p w14:paraId="43514F0E">
      <w:pPr>
        <w:spacing w:line="360" w:lineRule="auto"/>
        <w:ind w:firstLine="422"/>
        <w:rPr>
          <w:rFonts w:ascii="宋体" w:hAnsi="宋体" w:eastAsia="宋体" w:cs="宋体"/>
          <w:b/>
          <w:bCs/>
          <w:color w:val="auto"/>
          <w:szCs w:val="21"/>
        </w:rPr>
      </w:pPr>
      <w:r>
        <w:rPr>
          <w:rFonts w:hint="eastAsia" w:ascii="宋体" w:hAnsi="宋体" w:eastAsia="宋体" w:cs="宋体"/>
          <w:b/>
          <w:bCs/>
          <w:color w:val="auto"/>
          <w:szCs w:val="21"/>
        </w:rPr>
        <w:t>一、定标原则</w:t>
      </w:r>
    </w:p>
    <w:p w14:paraId="70BDCD08">
      <w:pPr>
        <w:pStyle w:val="32"/>
        <w:spacing w:beforeAutospacing="0" w:afterAutospacing="0" w:line="360" w:lineRule="auto"/>
        <w:ind w:firstLine="480"/>
        <w:jc w:val="both"/>
        <w:rPr>
          <w:rFonts w:ascii="宋体" w:hAnsi="宋体" w:eastAsia="宋体" w:cs="宋体"/>
          <w:color w:val="auto"/>
          <w:sz w:val="21"/>
          <w:szCs w:val="21"/>
        </w:rPr>
      </w:pPr>
      <w:r>
        <w:rPr>
          <w:rFonts w:hint="eastAsia" w:ascii="宋体" w:hAnsi="宋体"/>
          <w:color w:val="auto"/>
          <w:sz w:val="21"/>
          <w:szCs w:val="21"/>
        </w:rPr>
        <w:t>本次招标评标方法为“最低评标价法”。“最低评标价法”是指投标文件满足招标文件全部实质性要求，且投标报价最低的投标人为中标候选人的评标方法。采用最低评标价法的，评标结果按投标报价由低到高顺序排列。投标报价相同的并列。投标文件满足招标文件全部实质性要求且投标报价最低的投标人为排名第一的中标候选人。</w:t>
      </w:r>
    </w:p>
    <w:p w14:paraId="70A3B9EA">
      <w:pPr>
        <w:spacing w:line="360" w:lineRule="auto"/>
        <w:ind w:firstLine="422"/>
        <w:rPr>
          <w:rFonts w:ascii="宋体" w:hAnsi="宋体" w:cs="宋体"/>
          <w:color w:val="auto"/>
          <w:szCs w:val="21"/>
        </w:rPr>
      </w:pPr>
      <w:r>
        <w:rPr>
          <w:rFonts w:hint="eastAsia" w:ascii="宋体" w:hAnsi="宋体" w:cs="宋体"/>
          <w:b/>
          <w:color w:val="auto"/>
          <w:szCs w:val="21"/>
        </w:rPr>
        <w:t>政府采购政策功能落实</w:t>
      </w:r>
    </w:p>
    <w:p w14:paraId="33DCE693">
      <w:pPr>
        <w:spacing w:line="360" w:lineRule="auto"/>
        <w:ind w:firstLine="420"/>
        <w:rPr>
          <w:rFonts w:ascii="宋体" w:hAnsi="宋体" w:cs="宋体"/>
          <w:color w:val="auto"/>
          <w:szCs w:val="21"/>
        </w:rPr>
      </w:pPr>
      <w:r>
        <w:rPr>
          <w:rFonts w:hint="eastAsia" w:ascii="宋体" w:hAnsi="宋体" w:cs="宋体"/>
          <w:color w:val="auto"/>
          <w:szCs w:val="21"/>
        </w:rPr>
        <w:t>1、小微型企业价格扣除</w:t>
      </w:r>
    </w:p>
    <w:p w14:paraId="3C4E9CE3">
      <w:pPr>
        <w:spacing w:line="360" w:lineRule="auto"/>
        <w:ind w:firstLine="420"/>
        <w:rPr>
          <w:rFonts w:ascii="宋体" w:hAnsi="宋体" w:cs="宋体"/>
          <w:color w:val="auto"/>
          <w:szCs w:val="21"/>
        </w:rPr>
      </w:pPr>
      <w:r>
        <w:rPr>
          <w:rFonts w:hint="eastAsia" w:ascii="宋体" w:hAnsi="宋体" w:cs="宋体"/>
          <w:color w:val="auto"/>
          <w:szCs w:val="21"/>
        </w:rPr>
        <w:t>（1）本项目专门面向中小企业采购，不再对小型和微型企业报价给予价格扣除。</w:t>
      </w:r>
    </w:p>
    <w:p w14:paraId="1A753837">
      <w:pPr>
        <w:spacing w:line="360" w:lineRule="auto"/>
        <w:ind w:firstLine="420"/>
        <w:rPr>
          <w:rFonts w:ascii="宋体" w:hAnsi="宋体" w:cs="宋体"/>
          <w:color w:val="auto"/>
          <w:szCs w:val="21"/>
        </w:rPr>
      </w:pPr>
      <w:r>
        <w:rPr>
          <w:rFonts w:hint="eastAsia" w:ascii="宋体" w:hAnsi="宋体" w:cs="宋体"/>
          <w:color w:val="auto"/>
          <w:szCs w:val="21"/>
        </w:rPr>
        <w:t>（2）供应商需按照采购文件的要求提供相应的《中小企业声明函》。</w:t>
      </w:r>
    </w:p>
    <w:p w14:paraId="2EEA106F">
      <w:pPr>
        <w:spacing w:line="360" w:lineRule="auto"/>
        <w:ind w:firstLine="420"/>
        <w:rPr>
          <w:rFonts w:ascii="宋体" w:hAnsi="宋体" w:cs="宋体"/>
          <w:color w:val="auto"/>
          <w:szCs w:val="21"/>
        </w:rPr>
      </w:pPr>
      <w:r>
        <w:rPr>
          <w:rFonts w:hint="eastAsia" w:ascii="宋体" w:hAnsi="宋体" w:cs="宋体"/>
          <w:color w:val="auto"/>
          <w:szCs w:val="21"/>
        </w:rPr>
        <w:t>（3）企业标准请参照《关于印发中小企业划型标准规定的通知》（工信部联企业〔2011〕300号）文件规定自行填写。</w:t>
      </w:r>
    </w:p>
    <w:p w14:paraId="5FF9364A">
      <w:pPr>
        <w:spacing w:line="360" w:lineRule="auto"/>
        <w:ind w:firstLine="420"/>
        <w:rPr>
          <w:rFonts w:ascii="宋体" w:hAnsi="宋体" w:cs="宋体"/>
          <w:color w:val="auto"/>
          <w:szCs w:val="21"/>
        </w:rPr>
      </w:pPr>
      <w:r>
        <w:rPr>
          <w:rFonts w:hint="eastAsia" w:ascii="宋体" w:hAnsi="宋体" w:cs="宋体"/>
          <w:color w:val="auto"/>
          <w:szCs w:val="21"/>
        </w:rPr>
        <w:t>2、残疾人福利单位价格扣除</w:t>
      </w:r>
    </w:p>
    <w:p w14:paraId="0D6F6F2F">
      <w:pPr>
        <w:spacing w:line="360" w:lineRule="auto"/>
        <w:ind w:firstLine="420"/>
        <w:rPr>
          <w:rFonts w:ascii="宋体" w:hAnsi="宋体" w:cs="宋体"/>
          <w:color w:val="auto"/>
          <w:szCs w:val="21"/>
          <w:u w:val="single"/>
        </w:rPr>
      </w:pPr>
      <w:r>
        <w:rPr>
          <w:rFonts w:hint="eastAsia" w:ascii="宋体" w:hAnsi="宋体" w:cs="宋体"/>
          <w:color w:val="auto"/>
          <w:szCs w:val="21"/>
        </w:rPr>
        <w:t>（1）本项目对残疾人福利性单位视同小型、微型企业。</w:t>
      </w:r>
    </w:p>
    <w:p w14:paraId="415C4E38">
      <w:pPr>
        <w:spacing w:line="360" w:lineRule="auto"/>
        <w:ind w:firstLine="420"/>
        <w:rPr>
          <w:rFonts w:ascii="宋体" w:hAnsi="宋体" w:cs="宋体"/>
          <w:color w:val="auto"/>
          <w:szCs w:val="21"/>
        </w:rPr>
      </w:pPr>
      <w:r>
        <w:rPr>
          <w:rFonts w:hint="eastAsia" w:ascii="宋体" w:hAnsi="宋体" w:cs="宋体"/>
          <w:color w:val="auto"/>
          <w:szCs w:val="21"/>
        </w:rPr>
        <w:t>（2）残疾人福利单位需按照采购文件的要求提供《残疾人福利性单位声明函》。</w:t>
      </w:r>
    </w:p>
    <w:p w14:paraId="3860FB94">
      <w:pPr>
        <w:spacing w:line="360" w:lineRule="auto"/>
        <w:ind w:firstLine="420"/>
        <w:rPr>
          <w:rFonts w:ascii="宋体" w:hAnsi="宋体" w:cs="宋体"/>
          <w:color w:val="auto"/>
          <w:szCs w:val="21"/>
        </w:rPr>
      </w:pPr>
      <w:r>
        <w:rPr>
          <w:rFonts w:hint="eastAsia" w:ascii="宋体" w:hAnsi="宋体" w:cs="宋体"/>
          <w:color w:val="auto"/>
          <w:szCs w:val="21"/>
        </w:rPr>
        <w:t>（3）残疾人福利单位标准请参照《关于促进残疾人就业政府采购政策的通知》（财库〔2017〕141号）。</w:t>
      </w:r>
    </w:p>
    <w:p w14:paraId="31DF0AA0">
      <w:pPr>
        <w:spacing w:line="360" w:lineRule="auto"/>
        <w:ind w:firstLine="420"/>
        <w:rPr>
          <w:rFonts w:ascii="宋体" w:hAnsi="宋体" w:cs="宋体"/>
          <w:color w:val="auto"/>
          <w:szCs w:val="21"/>
        </w:rPr>
      </w:pPr>
      <w:r>
        <w:rPr>
          <w:rFonts w:hint="eastAsia" w:ascii="宋体" w:hAnsi="宋体" w:cs="宋体"/>
          <w:color w:val="auto"/>
          <w:szCs w:val="21"/>
        </w:rPr>
        <w:t>3、监狱和戒毒企业价格扣除</w:t>
      </w:r>
    </w:p>
    <w:p w14:paraId="16A9EEDD">
      <w:pPr>
        <w:spacing w:line="360" w:lineRule="auto"/>
        <w:ind w:firstLine="420"/>
        <w:rPr>
          <w:rFonts w:ascii="宋体" w:hAnsi="宋体" w:cs="宋体"/>
          <w:color w:val="auto"/>
          <w:szCs w:val="21"/>
          <w:u w:val="single"/>
        </w:rPr>
      </w:pPr>
      <w:r>
        <w:rPr>
          <w:rFonts w:hint="eastAsia" w:ascii="宋体" w:hAnsi="宋体" w:cs="宋体"/>
          <w:color w:val="auto"/>
          <w:szCs w:val="21"/>
        </w:rPr>
        <w:t>（1）本项目对监狱和戒毒企业（简称监狱企业）视同小型、微型企业。</w:t>
      </w:r>
    </w:p>
    <w:p w14:paraId="2A2C9785">
      <w:pPr>
        <w:spacing w:line="360" w:lineRule="auto"/>
        <w:ind w:firstLine="420"/>
        <w:rPr>
          <w:rFonts w:ascii="宋体" w:hAnsi="宋体" w:cs="宋体"/>
          <w:color w:val="auto"/>
          <w:szCs w:val="21"/>
        </w:rPr>
      </w:pPr>
      <w:r>
        <w:rPr>
          <w:rFonts w:hint="eastAsia" w:ascii="宋体" w:hAnsi="宋体" w:cs="宋体"/>
          <w:color w:val="auto"/>
          <w:szCs w:val="21"/>
        </w:rPr>
        <w:t>（2）监狱企业参加政府采购活动时，需提供由省级以上监狱管理局、戒毒管理局(含新疆生产建设兵团)出具的属于监狱企业的证明文件。供应商如不提供上述证明文件，价格将不做相应扣除。</w:t>
      </w:r>
    </w:p>
    <w:p w14:paraId="744A3A97">
      <w:pPr>
        <w:spacing w:line="360" w:lineRule="auto"/>
        <w:ind w:firstLine="420"/>
        <w:rPr>
          <w:rFonts w:ascii="宋体" w:hAnsi="宋体" w:cs="宋体"/>
          <w:color w:val="auto"/>
          <w:szCs w:val="21"/>
        </w:rPr>
      </w:pPr>
      <w:r>
        <w:rPr>
          <w:rFonts w:hint="eastAsia" w:ascii="宋体" w:hAnsi="宋体" w:cs="宋体"/>
          <w:color w:val="auto"/>
          <w:szCs w:val="21"/>
        </w:rPr>
        <w:t>（3）监狱企业标准请参照《关于政府采购支持监狱企业发展有关问题的通知》（财库〔2014〕68号）。</w:t>
      </w:r>
    </w:p>
    <w:p w14:paraId="4E1E14B5">
      <w:pPr>
        <w:spacing w:line="360" w:lineRule="auto"/>
        <w:ind w:firstLine="420"/>
        <w:rPr>
          <w:rFonts w:ascii="宋体" w:hAnsi="宋体" w:cs="宋体"/>
          <w:color w:val="auto"/>
          <w:szCs w:val="21"/>
        </w:rPr>
      </w:pPr>
      <w:r>
        <w:rPr>
          <w:rFonts w:hint="eastAsia" w:ascii="宋体" w:hAnsi="宋体" w:cs="宋体"/>
          <w:color w:val="auto"/>
          <w:szCs w:val="21"/>
        </w:rPr>
        <w:t>4、残疾人福利单位、监狱企业属于小型、微型企业的，不重复享受政策。</w:t>
      </w:r>
    </w:p>
    <w:p w14:paraId="681B0F21">
      <w:pPr>
        <w:spacing w:line="360" w:lineRule="auto"/>
        <w:ind w:firstLine="420"/>
        <w:rPr>
          <w:rFonts w:ascii="宋体" w:hAnsi="宋体" w:cs="宋体"/>
          <w:color w:val="auto"/>
          <w:szCs w:val="21"/>
        </w:rPr>
      </w:pPr>
      <w:r>
        <w:rPr>
          <w:rFonts w:hint="eastAsia" w:ascii="宋体" w:hAnsi="宋体" w:cs="宋体"/>
          <w:color w:val="auto"/>
          <w:szCs w:val="21"/>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Cs w:val="21"/>
          <w:u w:val="single"/>
        </w:rPr>
        <w:t>6%</w:t>
      </w:r>
      <w:r>
        <w:rPr>
          <w:rFonts w:hint="eastAsia" w:ascii="宋体" w:hAnsi="宋体" w:cs="宋体"/>
          <w:color w:val="auto"/>
          <w:szCs w:val="21"/>
        </w:rPr>
        <w:t>的价格扣除，用扣除后的价格参与评审。</w:t>
      </w:r>
    </w:p>
    <w:p w14:paraId="4F9E92A4">
      <w:pPr>
        <w:spacing w:line="360" w:lineRule="auto"/>
        <w:ind w:firstLine="420"/>
        <w:rPr>
          <w:rFonts w:ascii="宋体" w:hAnsi="宋体" w:cs="宋体"/>
          <w:color w:val="auto"/>
          <w:szCs w:val="21"/>
          <w:u w:val="single"/>
        </w:rPr>
      </w:pPr>
      <w:r>
        <w:rPr>
          <w:rFonts w:hint="eastAsia" w:ascii="宋体" w:hAnsi="宋体" w:cs="宋体"/>
          <w:color w:val="auto"/>
          <w:szCs w:val="21"/>
        </w:rPr>
        <w:t>6、联合体各方均为小型、微型企业（残疾人福利单位、监狱企业）的，联合体享受</w:t>
      </w:r>
      <w:r>
        <w:rPr>
          <w:rFonts w:hint="eastAsia" w:ascii="宋体" w:hAnsi="宋体" w:cs="宋体"/>
          <w:color w:val="auto"/>
          <w:szCs w:val="21"/>
          <w:u w:val="single"/>
        </w:rPr>
        <w:t>20%</w:t>
      </w:r>
      <w:r>
        <w:rPr>
          <w:rFonts w:hint="eastAsia" w:ascii="宋体" w:hAnsi="宋体" w:cs="宋体"/>
          <w:color w:val="auto"/>
          <w:szCs w:val="21"/>
        </w:rPr>
        <w:t>的价格扣除。</w:t>
      </w:r>
    </w:p>
    <w:p w14:paraId="25666C4E">
      <w:pPr>
        <w:spacing w:line="360" w:lineRule="auto"/>
        <w:ind w:firstLine="420"/>
        <w:rPr>
          <w:rFonts w:ascii="宋体" w:hAnsi="宋体" w:cs="宋体"/>
          <w:color w:val="auto"/>
          <w:szCs w:val="21"/>
        </w:rPr>
      </w:pPr>
      <w:r>
        <w:rPr>
          <w:rFonts w:hint="eastAsia" w:ascii="宋体" w:hAnsi="宋体" w:cs="宋体"/>
          <w:color w:val="auto"/>
          <w:szCs w:val="21"/>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Cs w:val="21"/>
        </w:rPr>
        <w:t>如属政府强制采购产品未提供认证证书的或认证证书提供不全的将视为未实质性响应采购要求</w:t>
      </w:r>
      <w:r>
        <w:rPr>
          <w:rFonts w:hint="eastAsia" w:ascii="宋体" w:hAnsi="宋体" w:cs="宋体"/>
          <w:i/>
          <w:color w:val="auto"/>
          <w:szCs w:val="21"/>
        </w:rPr>
        <w:t>。</w:t>
      </w:r>
      <w:r>
        <w:rPr>
          <w:rFonts w:hint="eastAsia" w:ascii="宋体" w:hAnsi="宋体" w:cs="宋体"/>
          <w:color w:val="auto"/>
          <w:szCs w:val="21"/>
        </w:rPr>
        <w:t>其他条件相同情况下，应当优先采购节能产品、环境标志产品。</w:t>
      </w:r>
    </w:p>
    <w:p w14:paraId="7561C837">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 </w:t>
      </w:r>
    </w:p>
    <w:p w14:paraId="74E1A2EE">
      <w:pPr>
        <w:pStyle w:val="32"/>
        <w:spacing w:beforeAutospacing="0" w:afterAutospacing="0" w:line="360" w:lineRule="auto"/>
        <w:jc w:val="both"/>
        <w:rPr>
          <w:color w:val="auto"/>
          <w:sz w:val="21"/>
          <w:szCs w:val="21"/>
        </w:rPr>
      </w:pPr>
      <w:r>
        <w:rPr>
          <w:color w:val="auto"/>
          <w:sz w:val="21"/>
          <w:szCs w:val="21"/>
        </w:rPr>
        <w:t> </w:t>
      </w:r>
    </w:p>
    <w:p w14:paraId="7FA02B66">
      <w:pPr>
        <w:pStyle w:val="32"/>
        <w:spacing w:beforeAutospacing="0" w:afterAutospacing="0" w:line="360" w:lineRule="auto"/>
        <w:jc w:val="both"/>
        <w:rPr>
          <w:color w:val="auto"/>
          <w:sz w:val="21"/>
          <w:szCs w:val="21"/>
        </w:rPr>
      </w:pPr>
    </w:p>
    <w:p w14:paraId="40B1C6CC">
      <w:pPr>
        <w:pStyle w:val="32"/>
        <w:spacing w:beforeAutospacing="0" w:afterAutospacing="0" w:line="360" w:lineRule="auto"/>
        <w:jc w:val="both"/>
        <w:rPr>
          <w:color w:val="auto"/>
          <w:sz w:val="21"/>
          <w:szCs w:val="21"/>
        </w:rPr>
      </w:pPr>
    </w:p>
    <w:p w14:paraId="766321B3">
      <w:pPr>
        <w:pStyle w:val="32"/>
        <w:spacing w:beforeAutospacing="0" w:afterAutospacing="0" w:line="360" w:lineRule="auto"/>
        <w:jc w:val="both"/>
        <w:rPr>
          <w:color w:val="auto"/>
          <w:sz w:val="21"/>
          <w:szCs w:val="21"/>
        </w:rPr>
      </w:pPr>
    </w:p>
    <w:p w14:paraId="1AD62214">
      <w:pPr>
        <w:pStyle w:val="32"/>
        <w:spacing w:beforeAutospacing="0" w:afterAutospacing="0" w:line="360" w:lineRule="auto"/>
        <w:jc w:val="both"/>
        <w:rPr>
          <w:color w:val="auto"/>
          <w:sz w:val="21"/>
          <w:szCs w:val="21"/>
        </w:rPr>
      </w:pPr>
    </w:p>
    <w:p w14:paraId="74044887">
      <w:pPr>
        <w:pStyle w:val="32"/>
        <w:spacing w:beforeAutospacing="0" w:afterAutospacing="0" w:line="360" w:lineRule="auto"/>
        <w:jc w:val="both"/>
        <w:rPr>
          <w:color w:val="auto"/>
          <w:sz w:val="21"/>
          <w:szCs w:val="21"/>
        </w:rPr>
      </w:pPr>
    </w:p>
    <w:p w14:paraId="6C2AC235">
      <w:pPr>
        <w:pStyle w:val="32"/>
        <w:spacing w:beforeAutospacing="0" w:afterAutospacing="0" w:line="360" w:lineRule="auto"/>
        <w:jc w:val="both"/>
        <w:rPr>
          <w:color w:val="auto"/>
          <w:sz w:val="21"/>
          <w:szCs w:val="21"/>
        </w:rPr>
      </w:pPr>
    </w:p>
    <w:p w14:paraId="23564906">
      <w:pPr>
        <w:pStyle w:val="32"/>
        <w:spacing w:beforeAutospacing="0" w:afterAutospacing="0" w:line="360" w:lineRule="auto"/>
        <w:jc w:val="both"/>
        <w:rPr>
          <w:color w:val="auto"/>
          <w:sz w:val="21"/>
          <w:szCs w:val="21"/>
        </w:rPr>
      </w:pPr>
    </w:p>
    <w:p w14:paraId="085E018B">
      <w:pPr>
        <w:pStyle w:val="32"/>
        <w:spacing w:beforeAutospacing="0" w:afterAutospacing="0" w:line="360" w:lineRule="auto"/>
        <w:jc w:val="both"/>
        <w:rPr>
          <w:color w:val="auto"/>
          <w:sz w:val="21"/>
          <w:szCs w:val="21"/>
        </w:rPr>
      </w:pPr>
    </w:p>
    <w:p w14:paraId="2B3A8FCD">
      <w:pPr>
        <w:pStyle w:val="32"/>
        <w:spacing w:beforeAutospacing="0" w:afterAutospacing="0" w:line="360" w:lineRule="auto"/>
        <w:jc w:val="both"/>
        <w:rPr>
          <w:color w:val="auto"/>
          <w:sz w:val="21"/>
          <w:szCs w:val="21"/>
        </w:rPr>
      </w:pPr>
    </w:p>
    <w:p w14:paraId="5931AB90">
      <w:pPr>
        <w:pStyle w:val="32"/>
        <w:spacing w:beforeAutospacing="0" w:afterAutospacing="0" w:line="360" w:lineRule="auto"/>
        <w:jc w:val="both"/>
        <w:rPr>
          <w:color w:val="auto"/>
          <w:sz w:val="21"/>
          <w:szCs w:val="21"/>
        </w:rPr>
      </w:pPr>
    </w:p>
    <w:p w14:paraId="2CFFEE91">
      <w:pPr>
        <w:pStyle w:val="32"/>
        <w:spacing w:beforeAutospacing="0" w:afterAutospacing="0" w:line="360" w:lineRule="auto"/>
        <w:jc w:val="both"/>
        <w:rPr>
          <w:color w:val="auto"/>
          <w:sz w:val="21"/>
          <w:szCs w:val="21"/>
        </w:rPr>
      </w:pPr>
    </w:p>
    <w:p w14:paraId="0F0BE7F9">
      <w:pPr>
        <w:pStyle w:val="32"/>
        <w:spacing w:beforeAutospacing="0" w:afterAutospacing="0" w:line="360" w:lineRule="auto"/>
        <w:jc w:val="both"/>
        <w:rPr>
          <w:color w:val="auto"/>
          <w:sz w:val="21"/>
          <w:szCs w:val="21"/>
        </w:rPr>
      </w:pPr>
    </w:p>
    <w:p w14:paraId="3B113C80">
      <w:pPr>
        <w:pStyle w:val="32"/>
        <w:spacing w:beforeAutospacing="0" w:afterAutospacing="0" w:line="360" w:lineRule="auto"/>
        <w:jc w:val="both"/>
        <w:rPr>
          <w:color w:val="auto"/>
          <w:sz w:val="21"/>
          <w:szCs w:val="21"/>
        </w:rPr>
      </w:pPr>
    </w:p>
    <w:p w14:paraId="6582A45B">
      <w:pPr>
        <w:pStyle w:val="32"/>
        <w:spacing w:beforeAutospacing="0" w:afterAutospacing="0" w:line="360" w:lineRule="auto"/>
        <w:jc w:val="both"/>
        <w:rPr>
          <w:color w:val="auto"/>
          <w:sz w:val="21"/>
          <w:szCs w:val="21"/>
        </w:rPr>
      </w:pPr>
    </w:p>
    <w:p w14:paraId="2DAD5891">
      <w:pPr>
        <w:pStyle w:val="32"/>
        <w:spacing w:beforeAutospacing="0" w:afterAutospacing="0" w:line="360" w:lineRule="auto"/>
        <w:jc w:val="both"/>
        <w:rPr>
          <w:color w:val="auto"/>
          <w:sz w:val="21"/>
          <w:szCs w:val="21"/>
        </w:rPr>
      </w:pPr>
    </w:p>
    <w:p w14:paraId="0711C75E">
      <w:pPr>
        <w:pStyle w:val="32"/>
        <w:spacing w:beforeAutospacing="0" w:afterAutospacing="0" w:line="360" w:lineRule="auto"/>
        <w:jc w:val="both"/>
        <w:rPr>
          <w:color w:val="auto"/>
          <w:sz w:val="21"/>
          <w:szCs w:val="21"/>
        </w:rPr>
      </w:pPr>
    </w:p>
    <w:p w14:paraId="67E0E0C5">
      <w:pPr>
        <w:pStyle w:val="32"/>
        <w:spacing w:beforeAutospacing="0" w:afterAutospacing="0" w:line="360" w:lineRule="auto"/>
        <w:jc w:val="both"/>
        <w:rPr>
          <w:color w:val="auto"/>
          <w:sz w:val="21"/>
          <w:szCs w:val="21"/>
        </w:rPr>
      </w:pPr>
    </w:p>
    <w:p w14:paraId="7B1F03D9">
      <w:pPr>
        <w:pStyle w:val="32"/>
        <w:spacing w:beforeAutospacing="0" w:afterAutospacing="0" w:line="360" w:lineRule="auto"/>
        <w:jc w:val="both"/>
        <w:rPr>
          <w:color w:val="auto"/>
          <w:sz w:val="21"/>
          <w:szCs w:val="21"/>
        </w:rPr>
      </w:pPr>
    </w:p>
    <w:p w14:paraId="2143DD75">
      <w:pPr>
        <w:pStyle w:val="32"/>
        <w:spacing w:beforeAutospacing="0" w:afterAutospacing="0" w:line="360" w:lineRule="auto"/>
        <w:jc w:val="both"/>
        <w:rPr>
          <w:color w:val="auto"/>
          <w:sz w:val="21"/>
          <w:szCs w:val="21"/>
        </w:rPr>
      </w:pPr>
    </w:p>
    <w:p w14:paraId="47B71A38">
      <w:pPr>
        <w:pStyle w:val="32"/>
        <w:spacing w:beforeAutospacing="0" w:afterAutospacing="0" w:line="360" w:lineRule="auto"/>
        <w:jc w:val="both"/>
        <w:rPr>
          <w:color w:val="auto"/>
          <w:sz w:val="21"/>
          <w:szCs w:val="21"/>
        </w:rPr>
      </w:pPr>
    </w:p>
    <w:p w14:paraId="0A92FCE9">
      <w:pPr>
        <w:pStyle w:val="32"/>
        <w:spacing w:beforeAutospacing="0" w:afterAutospacing="0" w:line="360" w:lineRule="auto"/>
        <w:jc w:val="both"/>
        <w:rPr>
          <w:color w:val="auto"/>
          <w:sz w:val="21"/>
          <w:szCs w:val="21"/>
        </w:rPr>
      </w:pPr>
    </w:p>
    <w:p w14:paraId="172514F8">
      <w:pPr>
        <w:pStyle w:val="32"/>
        <w:spacing w:beforeAutospacing="0" w:afterAutospacing="0"/>
        <w:jc w:val="both"/>
        <w:rPr>
          <w:color w:val="auto"/>
        </w:rPr>
      </w:pPr>
    </w:p>
    <w:p w14:paraId="767834F9">
      <w:pPr>
        <w:pStyle w:val="32"/>
        <w:spacing w:beforeAutospacing="0" w:afterAutospacing="0"/>
        <w:jc w:val="both"/>
        <w:rPr>
          <w:color w:val="auto"/>
        </w:rPr>
      </w:pPr>
    </w:p>
    <w:p w14:paraId="378AC3DE">
      <w:pPr>
        <w:pStyle w:val="32"/>
        <w:spacing w:beforeAutospacing="0" w:afterAutospacing="0"/>
        <w:jc w:val="both"/>
        <w:rPr>
          <w:color w:val="auto"/>
        </w:rPr>
      </w:pPr>
    </w:p>
    <w:p w14:paraId="4A0577E7">
      <w:pPr>
        <w:pStyle w:val="32"/>
        <w:spacing w:beforeAutospacing="0" w:afterAutospacing="0"/>
        <w:jc w:val="both"/>
        <w:rPr>
          <w:color w:val="auto"/>
        </w:rPr>
      </w:pPr>
    </w:p>
    <w:p w14:paraId="036B0954">
      <w:pPr>
        <w:pStyle w:val="32"/>
        <w:spacing w:beforeAutospacing="0" w:afterAutospacing="0"/>
        <w:jc w:val="both"/>
        <w:rPr>
          <w:color w:val="auto"/>
        </w:rPr>
      </w:pPr>
    </w:p>
    <w:p w14:paraId="209C96C4">
      <w:pPr>
        <w:pStyle w:val="32"/>
        <w:spacing w:beforeAutospacing="0" w:afterAutospacing="0"/>
        <w:jc w:val="both"/>
        <w:rPr>
          <w:color w:val="auto"/>
        </w:rPr>
      </w:pPr>
    </w:p>
    <w:p w14:paraId="215643FE">
      <w:pPr>
        <w:pStyle w:val="32"/>
        <w:spacing w:beforeAutospacing="0" w:afterAutospacing="0"/>
        <w:jc w:val="both"/>
        <w:rPr>
          <w:color w:val="auto"/>
        </w:rPr>
      </w:pPr>
    </w:p>
    <w:p w14:paraId="48663C30">
      <w:pPr>
        <w:pStyle w:val="32"/>
        <w:spacing w:beforeAutospacing="0" w:afterAutospacing="0"/>
        <w:jc w:val="both"/>
        <w:rPr>
          <w:color w:val="auto"/>
        </w:rPr>
      </w:pPr>
    </w:p>
    <w:p w14:paraId="29662129">
      <w:pPr>
        <w:pStyle w:val="32"/>
        <w:spacing w:beforeAutospacing="0" w:afterAutospacing="0"/>
        <w:jc w:val="both"/>
        <w:rPr>
          <w:color w:val="auto"/>
        </w:rPr>
      </w:pPr>
    </w:p>
    <w:p w14:paraId="21E80BCE">
      <w:pPr>
        <w:pStyle w:val="32"/>
        <w:spacing w:beforeAutospacing="0" w:afterAutospacing="0"/>
        <w:jc w:val="both"/>
        <w:rPr>
          <w:color w:val="auto"/>
        </w:rPr>
      </w:pPr>
      <w:r>
        <w:rPr>
          <w:color w:val="auto"/>
        </w:rPr>
        <w:t> </w:t>
      </w:r>
    </w:p>
    <w:p w14:paraId="08380573">
      <w:pPr>
        <w:pStyle w:val="32"/>
        <w:keepNext/>
        <w:spacing w:beforeAutospacing="0" w:afterAutospacing="0"/>
        <w:jc w:val="center"/>
        <w:outlineLvl w:val="0"/>
        <w:rPr>
          <w:color w:val="auto"/>
        </w:rPr>
      </w:pPr>
      <w:r>
        <w:rPr>
          <w:rFonts w:hint="eastAsia" w:ascii="黑体" w:hAnsi="宋体" w:eastAsia="黑体" w:cs="黑体"/>
          <w:color w:val="auto"/>
          <w:sz w:val="44"/>
          <w:szCs w:val="44"/>
        </w:rPr>
        <w:t xml:space="preserve">第六章  投标文件格式 </w:t>
      </w:r>
    </w:p>
    <w:p w14:paraId="76A7B2C1">
      <w:pPr>
        <w:pStyle w:val="32"/>
        <w:spacing w:beforeAutospacing="0" w:afterAutospacing="0"/>
        <w:jc w:val="center"/>
        <w:rPr>
          <w:rFonts w:ascii="宋体" w:hAnsi="宋体" w:eastAsia="宋体" w:cs="宋体"/>
          <w:b/>
          <w:color w:val="auto"/>
          <w:sz w:val="72"/>
          <w:szCs w:val="72"/>
        </w:rPr>
      </w:pPr>
      <w:bookmarkStart w:id="190" w:name="_Toc26554094"/>
      <w:bookmarkEnd w:id="190"/>
      <w:bookmarkStart w:id="191" w:name="_Hlt26671244"/>
      <w:bookmarkEnd w:id="191"/>
      <w:bookmarkStart w:id="192" w:name="_Hlt26955039"/>
      <w:bookmarkEnd w:id="192"/>
      <w:bookmarkStart w:id="193" w:name="_Toc49090576"/>
      <w:bookmarkStart w:id="194" w:name="_Toc120614282"/>
    </w:p>
    <w:p w14:paraId="444E4541">
      <w:pPr>
        <w:pStyle w:val="32"/>
        <w:spacing w:beforeAutospacing="0" w:afterAutospacing="0"/>
        <w:jc w:val="center"/>
        <w:rPr>
          <w:rFonts w:ascii="宋体" w:hAnsi="宋体" w:eastAsia="宋体" w:cs="宋体"/>
          <w:b/>
          <w:color w:val="auto"/>
          <w:sz w:val="72"/>
          <w:szCs w:val="72"/>
        </w:rPr>
      </w:pPr>
    </w:p>
    <w:p w14:paraId="00A973B5">
      <w:pPr>
        <w:pStyle w:val="32"/>
        <w:spacing w:beforeAutospacing="0" w:afterAutospacing="0"/>
        <w:jc w:val="center"/>
        <w:rPr>
          <w:rFonts w:ascii="宋体" w:hAnsi="宋体" w:eastAsia="宋体" w:cs="宋体"/>
          <w:b/>
          <w:color w:val="auto"/>
          <w:sz w:val="72"/>
          <w:szCs w:val="72"/>
        </w:rPr>
      </w:pPr>
    </w:p>
    <w:p w14:paraId="79B2EBA6">
      <w:pPr>
        <w:pStyle w:val="32"/>
        <w:spacing w:beforeAutospacing="0" w:afterAutospacing="0"/>
        <w:jc w:val="center"/>
        <w:rPr>
          <w:color w:val="auto"/>
        </w:rPr>
      </w:pPr>
      <w:r>
        <w:rPr>
          <w:rFonts w:hint="eastAsia" w:ascii="宋体" w:hAnsi="宋体" w:eastAsia="宋体" w:cs="宋体"/>
          <w:b/>
          <w:color w:val="auto"/>
          <w:sz w:val="72"/>
          <w:szCs w:val="72"/>
        </w:rPr>
        <w:t>投  标  文  件</w:t>
      </w:r>
    </w:p>
    <w:p w14:paraId="685B1BF3">
      <w:pPr>
        <w:pStyle w:val="32"/>
        <w:spacing w:beforeAutospacing="0" w:afterAutospacing="0"/>
        <w:jc w:val="center"/>
        <w:rPr>
          <w:color w:val="auto"/>
        </w:rPr>
      </w:pPr>
      <w:r>
        <w:rPr>
          <w:color w:val="auto"/>
        </w:rPr>
        <w:t> </w:t>
      </w:r>
    </w:p>
    <w:p w14:paraId="2C4BF8C1">
      <w:pPr>
        <w:pStyle w:val="32"/>
        <w:spacing w:beforeAutospacing="0" w:afterAutospacing="0"/>
        <w:jc w:val="center"/>
        <w:rPr>
          <w:color w:val="auto"/>
        </w:rPr>
      </w:pPr>
      <w:r>
        <w:rPr>
          <w:color w:val="auto"/>
        </w:rPr>
        <w:t> </w:t>
      </w:r>
    </w:p>
    <w:p w14:paraId="3705BCCC">
      <w:pPr>
        <w:pStyle w:val="32"/>
        <w:spacing w:beforeAutospacing="0" w:afterAutospacing="0"/>
        <w:jc w:val="center"/>
        <w:rPr>
          <w:color w:val="auto"/>
        </w:rPr>
      </w:pPr>
      <w:r>
        <w:rPr>
          <w:color w:val="auto"/>
        </w:rPr>
        <w:t> </w:t>
      </w:r>
    </w:p>
    <w:p w14:paraId="6BF020CB">
      <w:pPr>
        <w:pStyle w:val="32"/>
        <w:spacing w:beforeAutospacing="0" w:afterAutospacing="0"/>
        <w:jc w:val="center"/>
        <w:rPr>
          <w:color w:val="auto"/>
        </w:rPr>
      </w:pPr>
      <w:r>
        <w:rPr>
          <w:color w:val="auto"/>
        </w:rPr>
        <w:t> </w:t>
      </w:r>
    </w:p>
    <w:p w14:paraId="0A0C3EBC">
      <w:pPr>
        <w:pStyle w:val="32"/>
        <w:spacing w:beforeAutospacing="0" w:afterAutospacing="0"/>
        <w:jc w:val="center"/>
        <w:rPr>
          <w:color w:val="auto"/>
        </w:rPr>
      </w:pPr>
      <w:r>
        <w:rPr>
          <w:color w:val="auto"/>
        </w:rPr>
        <w:t> </w:t>
      </w:r>
    </w:p>
    <w:p w14:paraId="511BE571">
      <w:pPr>
        <w:pStyle w:val="32"/>
        <w:spacing w:beforeAutospacing="0" w:afterAutospacing="0"/>
        <w:ind w:firstLine="1084"/>
        <w:jc w:val="both"/>
        <w:rPr>
          <w:color w:val="auto"/>
        </w:rPr>
      </w:pPr>
      <w:r>
        <w:rPr>
          <w:rFonts w:hint="eastAsia" w:ascii="宋体" w:hAnsi="宋体" w:eastAsia="宋体" w:cs="宋体"/>
          <w:b/>
          <w:color w:val="auto"/>
          <w:sz w:val="36"/>
          <w:szCs w:val="36"/>
        </w:rPr>
        <w:t>项目 名 称：</w:t>
      </w:r>
      <w:r>
        <w:rPr>
          <w:rFonts w:hint="eastAsia" w:ascii="宋体" w:hAnsi="宋体" w:eastAsia="宋体" w:cs="宋体"/>
          <w:b/>
          <w:color w:val="auto"/>
          <w:sz w:val="36"/>
          <w:szCs w:val="36"/>
          <w:u w:val="single"/>
        </w:rPr>
        <w:t xml:space="preserve">               </w:t>
      </w:r>
    </w:p>
    <w:p w14:paraId="3F470A18">
      <w:pPr>
        <w:pStyle w:val="32"/>
        <w:spacing w:beforeAutospacing="0" w:afterAutospacing="0"/>
        <w:ind w:firstLine="1084"/>
        <w:jc w:val="both"/>
        <w:rPr>
          <w:color w:val="auto"/>
        </w:rPr>
      </w:pPr>
      <w:r>
        <w:rPr>
          <w:rFonts w:hint="eastAsia" w:ascii="宋体" w:hAnsi="宋体" w:eastAsia="宋体" w:cs="宋体"/>
          <w:b/>
          <w:color w:val="auto"/>
          <w:sz w:val="36"/>
          <w:szCs w:val="36"/>
        </w:rPr>
        <w:t>项目 编 号：</w:t>
      </w:r>
      <w:r>
        <w:rPr>
          <w:rFonts w:hint="eastAsia" w:ascii="宋体" w:hAnsi="宋体" w:eastAsia="宋体" w:cs="宋体"/>
          <w:b/>
          <w:color w:val="auto"/>
          <w:sz w:val="36"/>
          <w:szCs w:val="36"/>
          <w:u w:val="single"/>
        </w:rPr>
        <w:t xml:space="preserve">               </w:t>
      </w:r>
    </w:p>
    <w:p w14:paraId="5555BEB3">
      <w:pPr>
        <w:pStyle w:val="32"/>
        <w:spacing w:beforeAutospacing="0" w:afterAutospacing="0"/>
        <w:jc w:val="both"/>
        <w:rPr>
          <w:color w:val="auto"/>
        </w:rPr>
      </w:pPr>
      <w:r>
        <w:rPr>
          <w:rFonts w:hint="eastAsia" w:ascii="宋体" w:hAnsi="宋体" w:eastAsia="宋体" w:cs="宋体"/>
          <w:b/>
          <w:color w:val="auto"/>
          <w:sz w:val="36"/>
          <w:szCs w:val="36"/>
        </w:rPr>
        <w:t>   投标人名称 ：</w:t>
      </w:r>
      <w:r>
        <w:rPr>
          <w:rFonts w:hint="eastAsia" w:ascii="宋体" w:hAnsi="宋体" w:eastAsia="宋体" w:cs="宋体"/>
          <w:b/>
          <w:color w:val="auto"/>
          <w:sz w:val="36"/>
          <w:szCs w:val="36"/>
          <w:u w:val="single"/>
        </w:rPr>
        <w:t xml:space="preserve">（加盖CA电子公章）        </w:t>
      </w:r>
    </w:p>
    <w:p w14:paraId="585F54F8">
      <w:pPr>
        <w:pStyle w:val="32"/>
        <w:spacing w:beforeAutospacing="0" w:afterAutospacing="0"/>
        <w:jc w:val="both"/>
        <w:rPr>
          <w:color w:val="auto"/>
        </w:rPr>
      </w:pPr>
      <w:r>
        <w:rPr>
          <w:rFonts w:hint="eastAsia" w:ascii="宋体" w:hAnsi="宋体" w:eastAsia="宋体" w:cs="宋体"/>
          <w:b/>
          <w:color w:val="auto"/>
          <w:sz w:val="36"/>
          <w:szCs w:val="36"/>
        </w:rPr>
        <w:t>   日   期 ：</w:t>
      </w:r>
      <w:r>
        <w:rPr>
          <w:rFonts w:hint="eastAsia" w:ascii="宋体" w:hAnsi="宋体" w:eastAsia="宋体" w:cs="宋体"/>
          <w:b/>
          <w:color w:val="auto"/>
          <w:sz w:val="36"/>
          <w:szCs w:val="36"/>
          <w:u w:val="single"/>
        </w:rPr>
        <w:t>                     </w:t>
      </w:r>
    </w:p>
    <w:p w14:paraId="5198AA22">
      <w:pPr>
        <w:pStyle w:val="32"/>
        <w:spacing w:beforeAutospacing="0" w:afterAutospacing="0" w:line="0" w:lineRule="atLeast"/>
        <w:jc w:val="center"/>
        <w:rPr>
          <w:color w:val="auto"/>
        </w:rPr>
      </w:pPr>
      <w:r>
        <w:rPr>
          <w:color w:val="auto"/>
        </w:rPr>
        <w:t> </w:t>
      </w:r>
    </w:p>
    <w:p w14:paraId="07925DAF">
      <w:pPr>
        <w:pStyle w:val="32"/>
        <w:spacing w:beforeAutospacing="0" w:afterAutospacing="0" w:line="0" w:lineRule="atLeast"/>
        <w:jc w:val="both"/>
        <w:rPr>
          <w:color w:val="auto"/>
        </w:rPr>
      </w:pPr>
      <w:r>
        <w:rPr>
          <w:color w:val="auto"/>
        </w:rPr>
        <w:t> </w:t>
      </w:r>
    </w:p>
    <w:p w14:paraId="39DB900B">
      <w:pPr>
        <w:pStyle w:val="32"/>
        <w:spacing w:beforeAutospacing="0" w:afterAutospacing="0" w:line="0" w:lineRule="atLeast"/>
        <w:jc w:val="center"/>
        <w:rPr>
          <w:rFonts w:ascii="宋体" w:hAnsi="宋体" w:eastAsia="宋体" w:cs="宋体"/>
          <w:b/>
          <w:color w:val="auto"/>
          <w:sz w:val="36"/>
          <w:szCs w:val="36"/>
          <w:u w:val="single"/>
        </w:rPr>
      </w:pPr>
    </w:p>
    <w:p w14:paraId="660F6FEA">
      <w:pPr>
        <w:pStyle w:val="32"/>
        <w:spacing w:beforeAutospacing="0" w:afterAutospacing="0" w:line="0" w:lineRule="atLeast"/>
        <w:jc w:val="center"/>
        <w:rPr>
          <w:rFonts w:ascii="宋体" w:hAnsi="宋体" w:eastAsia="宋体" w:cs="宋体"/>
          <w:b/>
          <w:color w:val="auto"/>
          <w:sz w:val="36"/>
          <w:szCs w:val="36"/>
          <w:u w:val="single"/>
        </w:rPr>
      </w:pPr>
    </w:p>
    <w:p w14:paraId="4499C700">
      <w:pPr>
        <w:pStyle w:val="32"/>
        <w:spacing w:beforeAutospacing="0" w:afterAutospacing="0" w:line="0" w:lineRule="atLeast"/>
        <w:jc w:val="center"/>
        <w:rPr>
          <w:rFonts w:ascii="宋体" w:hAnsi="宋体" w:eastAsia="宋体" w:cs="宋体"/>
          <w:b/>
          <w:color w:val="auto"/>
          <w:sz w:val="36"/>
          <w:szCs w:val="36"/>
          <w:u w:val="single"/>
        </w:rPr>
      </w:pPr>
    </w:p>
    <w:p w14:paraId="5CDAF2E9">
      <w:pPr>
        <w:pStyle w:val="32"/>
        <w:spacing w:beforeAutospacing="0" w:afterAutospacing="0" w:line="0" w:lineRule="atLeast"/>
        <w:jc w:val="center"/>
        <w:rPr>
          <w:rFonts w:ascii="宋体" w:hAnsi="宋体" w:eastAsia="宋体" w:cs="宋体"/>
          <w:b/>
          <w:color w:val="auto"/>
          <w:sz w:val="36"/>
          <w:szCs w:val="36"/>
          <w:u w:val="single"/>
        </w:rPr>
      </w:pPr>
    </w:p>
    <w:p w14:paraId="66E15841">
      <w:pPr>
        <w:pStyle w:val="32"/>
        <w:spacing w:beforeAutospacing="0" w:afterAutospacing="0" w:line="0" w:lineRule="atLeast"/>
        <w:jc w:val="center"/>
        <w:rPr>
          <w:rFonts w:ascii="宋体" w:hAnsi="宋体" w:eastAsia="宋体" w:cs="宋体"/>
          <w:b/>
          <w:color w:val="auto"/>
          <w:sz w:val="36"/>
          <w:szCs w:val="36"/>
          <w:u w:val="single"/>
        </w:rPr>
      </w:pPr>
    </w:p>
    <w:p w14:paraId="05F1279E">
      <w:pPr>
        <w:pStyle w:val="32"/>
        <w:spacing w:beforeAutospacing="0" w:afterAutospacing="0" w:line="0" w:lineRule="atLeast"/>
        <w:jc w:val="center"/>
        <w:rPr>
          <w:rFonts w:ascii="宋体" w:hAnsi="宋体" w:eastAsia="宋体" w:cs="宋体"/>
          <w:b/>
          <w:color w:val="auto"/>
          <w:sz w:val="36"/>
          <w:szCs w:val="36"/>
          <w:u w:val="single"/>
        </w:rPr>
      </w:pPr>
    </w:p>
    <w:p w14:paraId="5AFF12BE">
      <w:pPr>
        <w:pStyle w:val="32"/>
        <w:spacing w:beforeAutospacing="0" w:afterAutospacing="0" w:line="0" w:lineRule="atLeast"/>
        <w:jc w:val="center"/>
        <w:rPr>
          <w:rFonts w:ascii="宋体" w:hAnsi="宋体" w:eastAsia="宋体" w:cs="宋体"/>
          <w:b/>
          <w:color w:val="auto"/>
          <w:sz w:val="36"/>
          <w:szCs w:val="36"/>
          <w:u w:val="single"/>
        </w:rPr>
      </w:pPr>
    </w:p>
    <w:p w14:paraId="39819500">
      <w:pPr>
        <w:pStyle w:val="32"/>
        <w:spacing w:beforeAutospacing="0" w:afterAutospacing="0" w:line="0" w:lineRule="atLeast"/>
        <w:jc w:val="center"/>
        <w:rPr>
          <w:rFonts w:ascii="宋体" w:hAnsi="宋体" w:eastAsia="宋体" w:cs="宋体"/>
          <w:b/>
          <w:color w:val="auto"/>
          <w:sz w:val="36"/>
          <w:szCs w:val="36"/>
          <w:u w:val="single"/>
        </w:rPr>
      </w:pPr>
    </w:p>
    <w:p w14:paraId="2BE06E89">
      <w:pPr>
        <w:pStyle w:val="32"/>
        <w:spacing w:beforeAutospacing="0" w:afterAutospacing="0" w:line="0" w:lineRule="atLeast"/>
        <w:jc w:val="center"/>
        <w:rPr>
          <w:rFonts w:ascii="宋体" w:hAnsi="宋体" w:eastAsia="宋体" w:cs="宋体"/>
          <w:b/>
          <w:color w:val="auto"/>
          <w:sz w:val="36"/>
          <w:szCs w:val="36"/>
          <w:u w:val="single"/>
        </w:rPr>
      </w:pPr>
    </w:p>
    <w:p w14:paraId="193A3752">
      <w:pPr>
        <w:pStyle w:val="32"/>
        <w:spacing w:beforeAutospacing="0" w:afterAutospacing="0" w:line="0" w:lineRule="atLeast"/>
        <w:jc w:val="center"/>
        <w:rPr>
          <w:rFonts w:ascii="宋体" w:hAnsi="宋体" w:eastAsia="宋体" w:cs="宋体"/>
          <w:b/>
          <w:color w:val="auto"/>
          <w:sz w:val="36"/>
          <w:szCs w:val="36"/>
          <w:u w:val="single"/>
        </w:rPr>
      </w:pPr>
    </w:p>
    <w:p w14:paraId="3EDAF202">
      <w:pPr>
        <w:pStyle w:val="32"/>
        <w:spacing w:beforeAutospacing="0" w:afterAutospacing="0" w:line="0" w:lineRule="atLeast"/>
        <w:jc w:val="center"/>
        <w:rPr>
          <w:rFonts w:ascii="宋体" w:hAnsi="宋体" w:eastAsia="宋体" w:cs="宋体"/>
          <w:b/>
          <w:color w:val="auto"/>
          <w:sz w:val="36"/>
          <w:szCs w:val="36"/>
          <w:u w:val="single"/>
        </w:rPr>
      </w:pPr>
    </w:p>
    <w:p w14:paraId="1B4698CA">
      <w:pPr>
        <w:pStyle w:val="32"/>
        <w:spacing w:beforeAutospacing="0" w:afterAutospacing="0" w:line="0" w:lineRule="atLeast"/>
        <w:jc w:val="center"/>
        <w:rPr>
          <w:rFonts w:ascii="宋体" w:hAnsi="宋体" w:eastAsia="宋体" w:cs="宋体"/>
          <w:b/>
          <w:color w:val="auto"/>
          <w:sz w:val="36"/>
          <w:szCs w:val="36"/>
          <w:u w:val="single"/>
        </w:rPr>
      </w:pPr>
    </w:p>
    <w:p w14:paraId="42105F6A">
      <w:pPr>
        <w:pStyle w:val="32"/>
        <w:spacing w:beforeAutospacing="0" w:afterAutospacing="0" w:line="0" w:lineRule="atLeast"/>
        <w:jc w:val="center"/>
        <w:rPr>
          <w:rFonts w:ascii="宋体" w:hAnsi="宋体" w:eastAsia="宋体" w:cs="宋体"/>
          <w:b/>
          <w:color w:val="auto"/>
          <w:sz w:val="36"/>
          <w:szCs w:val="36"/>
          <w:u w:val="single"/>
        </w:rPr>
      </w:pPr>
    </w:p>
    <w:p w14:paraId="1BC3FAD7">
      <w:pPr>
        <w:pStyle w:val="32"/>
        <w:spacing w:beforeAutospacing="0" w:afterAutospacing="0" w:line="0" w:lineRule="atLeast"/>
        <w:jc w:val="center"/>
        <w:rPr>
          <w:rFonts w:ascii="宋体" w:hAnsi="宋体" w:eastAsia="宋体" w:cs="宋体"/>
          <w:b/>
          <w:color w:val="auto"/>
          <w:sz w:val="36"/>
          <w:szCs w:val="36"/>
          <w:u w:val="single"/>
        </w:rPr>
      </w:pPr>
    </w:p>
    <w:p w14:paraId="115E2A37">
      <w:pPr>
        <w:pStyle w:val="32"/>
        <w:spacing w:beforeAutospacing="0" w:afterAutospacing="0" w:line="0" w:lineRule="atLeast"/>
        <w:jc w:val="center"/>
        <w:rPr>
          <w:rFonts w:ascii="宋体" w:hAnsi="宋体" w:eastAsia="宋体" w:cs="宋体"/>
          <w:b/>
          <w:color w:val="auto"/>
          <w:sz w:val="36"/>
          <w:szCs w:val="36"/>
          <w:u w:val="single"/>
        </w:rPr>
      </w:pPr>
    </w:p>
    <w:p w14:paraId="0C36EC7C">
      <w:pPr>
        <w:pStyle w:val="32"/>
        <w:spacing w:beforeAutospacing="0" w:afterAutospacing="0" w:line="0" w:lineRule="atLeast"/>
        <w:jc w:val="center"/>
        <w:rPr>
          <w:rFonts w:ascii="宋体" w:hAnsi="宋体" w:eastAsia="宋体" w:cs="宋体"/>
          <w:b/>
          <w:color w:val="auto"/>
          <w:sz w:val="36"/>
          <w:szCs w:val="36"/>
          <w:u w:val="single"/>
        </w:rPr>
      </w:pPr>
    </w:p>
    <w:p w14:paraId="37E8632F">
      <w:pPr>
        <w:pStyle w:val="32"/>
        <w:spacing w:beforeAutospacing="0" w:afterAutospacing="0" w:line="0" w:lineRule="atLeast"/>
        <w:jc w:val="center"/>
        <w:rPr>
          <w:color w:val="auto"/>
        </w:rPr>
      </w:pPr>
      <w:r>
        <w:rPr>
          <w:rFonts w:hint="eastAsia" w:ascii="宋体" w:hAnsi="宋体" w:eastAsia="宋体" w:cs="宋体"/>
          <w:b/>
          <w:color w:val="auto"/>
          <w:sz w:val="32"/>
          <w:szCs w:val="32"/>
        </w:rPr>
        <w:t>投标文件目录</w:t>
      </w:r>
    </w:p>
    <w:p w14:paraId="3D540E41">
      <w:pPr>
        <w:pStyle w:val="32"/>
        <w:spacing w:beforeAutospacing="0" w:afterAutospacing="0" w:line="0" w:lineRule="atLeast"/>
        <w:jc w:val="center"/>
        <w:rPr>
          <w:color w:val="auto"/>
        </w:rPr>
      </w:pPr>
      <w:r>
        <w:rPr>
          <w:color w:val="auto"/>
        </w:rPr>
        <w:t> </w:t>
      </w:r>
    </w:p>
    <w:p w14:paraId="043BF060">
      <w:pPr>
        <w:pStyle w:val="32"/>
        <w:spacing w:beforeAutospacing="0" w:afterAutospacing="0" w:line="360" w:lineRule="auto"/>
        <w:ind w:left="480"/>
        <w:jc w:val="both"/>
        <w:rPr>
          <w:rFonts w:ascii="宋体" w:hAnsi="宋体" w:eastAsia="宋体" w:cs="宋体"/>
          <w:iCs/>
          <w:color w:val="auto"/>
          <w:sz w:val="21"/>
          <w:szCs w:val="21"/>
        </w:rPr>
      </w:pPr>
      <w:r>
        <w:rPr>
          <w:rFonts w:hint="eastAsia" w:ascii="宋体" w:hAnsi="宋体" w:eastAsia="宋体" w:cs="宋体"/>
          <w:iCs/>
          <w:color w:val="auto"/>
          <w:sz w:val="21"/>
          <w:szCs w:val="21"/>
        </w:rPr>
        <w:t>一、法人或者其他组织的营业执照等证明文件，自然人的身份证明</w:t>
      </w:r>
    </w:p>
    <w:p w14:paraId="434E0BBB">
      <w:pPr>
        <w:tabs>
          <w:tab w:val="left" w:pos="1331"/>
        </w:tabs>
        <w:spacing w:line="360" w:lineRule="auto"/>
        <w:ind w:firstLine="420"/>
        <w:jc w:val="left"/>
        <w:rPr>
          <w:rFonts w:ascii="宋体" w:hAnsi="宋体" w:eastAsia="宋体" w:cs="宋体"/>
          <w:iCs/>
          <w:color w:val="auto"/>
          <w:szCs w:val="21"/>
        </w:rPr>
      </w:pPr>
      <w:r>
        <w:rPr>
          <w:rFonts w:hint="eastAsia" w:ascii="宋体" w:hAnsi="宋体" w:eastAsia="宋体" w:cs="宋体"/>
          <w:iCs/>
          <w:color w:val="auto"/>
          <w:szCs w:val="21"/>
        </w:rPr>
        <w:t>二、上一年度的财务状况报告（至少提供资产负债表、利润表、现金流量表，</w:t>
      </w:r>
    </w:p>
    <w:p w14:paraId="166A296D">
      <w:pPr>
        <w:pStyle w:val="32"/>
        <w:spacing w:beforeAutospacing="0" w:afterAutospacing="0" w:line="360" w:lineRule="auto"/>
        <w:ind w:left="480"/>
        <w:jc w:val="both"/>
        <w:rPr>
          <w:rFonts w:ascii="宋体" w:hAnsi="宋体" w:eastAsia="宋体" w:cs="宋体"/>
          <w:iCs/>
          <w:color w:val="auto"/>
          <w:sz w:val="21"/>
          <w:szCs w:val="21"/>
        </w:rPr>
      </w:pPr>
      <w:r>
        <w:rPr>
          <w:rFonts w:hint="eastAsia" w:ascii="宋体" w:hAnsi="宋体" w:eastAsia="宋体" w:cs="宋体"/>
          <w:iCs/>
          <w:color w:val="auto"/>
          <w:sz w:val="21"/>
          <w:szCs w:val="21"/>
        </w:rPr>
        <w:t>投标人成立不满一年无需提供）</w:t>
      </w:r>
    </w:p>
    <w:p w14:paraId="77FAEF26">
      <w:pPr>
        <w:pStyle w:val="32"/>
        <w:spacing w:beforeAutospacing="0" w:afterAutospacing="0" w:line="360" w:lineRule="auto"/>
        <w:ind w:left="480"/>
        <w:jc w:val="both"/>
        <w:rPr>
          <w:rFonts w:ascii="宋体" w:hAnsi="宋体" w:eastAsia="宋体" w:cs="宋体"/>
          <w:iCs/>
          <w:color w:val="auto"/>
          <w:sz w:val="21"/>
          <w:szCs w:val="21"/>
        </w:rPr>
      </w:pPr>
      <w:r>
        <w:rPr>
          <w:rFonts w:hint="eastAsia" w:ascii="宋体" w:hAnsi="宋体" w:eastAsia="宋体" w:cs="宋体"/>
          <w:iCs/>
          <w:color w:val="auto"/>
          <w:sz w:val="21"/>
          <w:szCs w:val="21"/>
        </w:rPr>
        <w:t>三、具备履行合同所必需的设备和专业技术能力的书面声明</w:t>
      </w:r>
    </w:p>
    <w:p w14:paraId="61CCA25F">
      <w:pPr>
        <w:pStyle w:val="32"/>
        <w:spacing w:beforeAutospacing="0" w:afterAutospacing="0" w:line="360" w:lineRule="auto"/>
        <w:ind w:left="480"/>
        <w:jc w:val="both"/>
        <w:rPr>
          <w:rFonts w:ascii="宋体" w:hAnsi="宋体" w:eastAsia="宋体" w:cs="宋体"/>
          <w:iCs/>
          <w:color w:val="auto"/>
          <w:sz w:val="21"/>
          <w:szCs w:val="21"/>
        </w:rPr>
      </w:pPr>
      <w:r>
        <w:rPr>
          <w:rFonts w:hint="eastAsia" w:ascii="宋体" w:hAnsi="宋体" w:eastAsia="宋体" w:cs="宋体"/>
          <w:iCs/>
          <w:color w:val="auto"/>
          <w:sz w:val="21"/>
          <w:szCs w:val="21"/>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0F405535">
      <w:pPr>
        <w:pStyle w:val="32"/>
        <w:spacing w:beforeAutospacing="0" w:afterAutospacing="0" w:line="360" w:lineRule="auto"/>
        <w:ind w:left="480"/>
        <w:jc w:val="both"/>
        <w:rPr>
          <w:rFonts w:ascii="宋体" w:hAnsi="宋体" w:eastAsia="宋体" w:cs="宋体"/>
          <w:iCs/>
          <w:color w:val="auto"/>
          <w:sz w:val="21"/>
          <w:szCs w:val="21"/>
        </w:rPr>
      </w:pPr>
      <w:r>
        <w:rPr>
          <w:rFonts w:hint="eastAsia" w:ascii="宋体" w:hAnsi="宋体" w:eastAsia="宋体" w:cs="宋体"/>
          <w:iCs/>
          <w:color w:val="auto"/>
          <w:sz w:val="21"/>
          <w:szCs w:val="21"/>
        </w:rPr>
        <w:t>五、参加政府采购活动前 3 年内在经营活动中没有重大违法记录的书面声明</w:t>
      </w:r>
    </w:p>
    <w:p w14:paraId="32A037EC">
      <w:pPr>
        <w:pStyle w:val="32"/>
        <w:spacing w:beforeAutospacing="0" w:afterAutospacing="0" w:line="360" w:lineRule="auto"/>
        <w:ind w:left="480"/>
        <w:jc w:val="both"/>
        <w:rPr>
          <w:rFonts w:ascii="宋体" w:hAnsi="宋体" w:eastAsia="宋体" w:cs="宋体"/>
          <w:iCs/>
          <w:color w:val="auto"/>
          <w:sz w:val="21"/>
          <w:szCs w:val="21"/>
        </w:rPr>
      </w:pPr>
      <w:r>
        <w:rPr>
          <w:rFonts w:hint="eastAsia" w:ascii="宋体" w:hAnsi="宋体" w:eastAsia="宋体" w:cs="宋体"/>
          <w:iCs/>
          <w:color w:val="auto"/>
          <w:sz w:val="21"/>
          <w:szCs w:val="21"/>
        </w:rPr>
        <w:t>六、特定资格要求的证明文件（如果本项目设置特定资格要求，则需要提供）</w:t>
      </w:r>
    </w:p>
    <w:p w14:paraId="33C02107">
      <w:pPr>
        <w:pStyle w:val="32"/>
        <w:spacing w:beforeAutospacing="0" w:afterAutospacing="0" w:line="360" w:lineRule="auto"/>
        <w:ind w:left="480"/>
        <w:jc w:val="both"/>
        <w:rPr>
          <w:rFonts w:ascii="宋体" w:hAnsi="宋体" w:eastAsia="宋体" w:cs="宋体"/>
          <w:iCs/>
          <w:color w:val="auto"/>
          <w:sz w:val="21"/>
          <w:szCs w:val="21"/>
        </w:rPr>
      </w:pPr>
      <w:r>
        <w:rPr>
          <w:rFonts w:hint="eastAsia" w:ascii="宋体" w:hAnsi="宋体" w:eastAsia="宋体" w:cs="宋体"/>
          <w:iCs/>
          <w:color w:val="auto"/>
          <w:sz w:val="21"/>
          <w:szCs w:val="21"/>
        </w:rPr>
        <w:t>七、法人授权书</w:t>
      </w:r>
    </w:p>
    <w:p w14:paraId="26F1E940">
      <w:pPr>
        <w:pStyle w:val="32"/>
        <w:spacing w:beforeAutospacing="0" w:afterAutospacing="0" w:line="360" w:lineRule="auto"/>
        <w:ind w:left="480"/>
        <w:jc w:val="both"/>
        <w:rPr>
          <w:rFonts w:ascii="宋体" w:hAnsi="宋体" w:eastAsia="宋体" w:cs="宋体"/>
          <w:iCs/>
          <w:color w:val="auto"/>
          <w:sz w:val="21"/>
          <w:szCs w:val="21"/>
        </w:rPr>
      </w:pPr>
      <w:r>
        <w:rPr>
          <w:rFonts w:hint="eastAsia" w:ascii="宋体" w:hAnsi="宋体" w:eastAsia="宋体" w:cs="宋体"/>
          <w:iCs/>
          <w:color w:val="auto"/>
          <w:sz w:val="21"/>
          <w:szCs w:val="21"/>
        </w:rPr>
        <w:t>八、投标函</w:t>
      </w:r>
    </w:p>
    <w:p w14:paraId="074BF789">
      <w:pPr>
        <w:pStyle w:val="32"/>
        <w:spacing w:beforeAutospacing="0" w:afterAutospacing="0" w:line="360" w:lineRule="auto"/>
        <w:ind w:firstLine="480"/>
        <w:jc w:val="both"/>
        <w:rPr>
          <w:rFonts w:ascii="宋体" w:hAnsi="宋体" w:eastAsia="宋体" w:cs="宋体"/>
          <w:iCs/>
          <w:color w:val="auto"/>
          <w:sz w:val="21"/>
          <w:szCs w:val="21"/>
        </w:rPr>
      </w:pPr>
      <w:r>
        <w:rPr>
          <w:rFonts w:hint="eastAsia" w:ascii="宋体" w:hAnsi="宋体" w:eastAsia="宋体" w:cs="宋体"/>
          <w:iCs/>
          <w:color w:val="auto"/>
          <w:sz w:val="21"/>
          <w:szCs w:val="21"/>
        </w:rPr>
        <w:t>九、中小企业声明函</w:t>
      </w:r>
    </w:p>
    <w:p w14:paraId="7DEDDBF0">
      <w:pPr>
        <w:pStyle w:val="32"/>
        <w:spacing w:beforeAutospacing="0" w:afterAutospacing="0" w:line="360" w:lineRule="auto"/>
        <w:ind w:firstLine="480"/>
        <w:jc w:val="both"/>
        <w:rPr>
          <w:rFonts w:ascii="宋体" w:hAnsi="宋体" w:eastAsia="宋体" w:cs="宋体"/>
          <w:iCs/>
          <w:color w:val="auto"/>
          <w:sz w:val="21"/>
          <w:szCs w:val="21"/>
        </w:rPr>
      </w:pPr>
      <w:r>
        <w:rPr>
          <w:rFonts w:hint="eastAsia" w:ascii="宋体" w:hAnsi="宋体" w:eastAsia="宋体" w:cs="宋体"/>
          <w:iCs/>
          <w:color w:val="auto"/>
          <w:sz w:val="21"/>
          <w:szCs w:val="21"/>
        </w:rPr>
        <w:t>十、残疾人福利性单位声明函</w:t>
      </w:r>
    </w:p>
    <w:p w14:paraId="439E6246">
      <w:pPr>
        <w:pStyle w:val="32"/>
        <w:spacing w:beforeAutospacing="0" w:afterAutospacing="0" w:line="360" w:lineRule="auto"/>
        <w:ind w:firstLine="480"/>
        <w:jc w:val="both"/>
        <w:rPr>
          <w:rFonts w:ascii="宋体" w:hAnsi="宋体" w:eastAsia="宋体" w:cs="宋体"/>
          <w:iCs/>
          <w:color w:val="auto"/>
          <w:sz w:val="21"/>
          <w:szCs w:val="21"/>
        </w:rPr>
      </w:pPr>
      <w:r>
        <w:rPr>
          <w:rFonts w:hint="eastAsia" w:ascii="宋体" w:hAnsi="宋体" w:eastAsia="宋体" w:cs="宋体"/>
          <w:iCs/>
          <w:color w:val="auto"/>
          <w:sz w:val="21"/>
          <w:szCs w:val="21"/>
        </w:rPr>
        <w:t>十一、投标分项报价表</w:t>
      </w:r>
    </w:p>
    <w:p w14:paraId="0B0BD8A5">
      <w:pPr>
        <w:pStyle w:val="32"/>
        <w:spacing w:beforeAutospacing="0" w:afterAutospacing="0" w:line="360" w:lineRule="auto"/>
        <w:ind w:firstLine="480"/>
        <w:jc w:val="both"/>
        <w:rPr>
          <w:rFonts w:ascii="宋体" w:hAnsi="宋体" w:eastAsia="宋体" w:cs="宋体"/>
          <w:iCs/>
          <w:color w:val="auto"/>
          <w:sz w:val="21"/>
          <w:szCs w:val="21"/>
        </w:rPr>
      </w:pPr>
      <w:r>
        <w:rPr>
          <w:rFonts w:hint="eastAsia" w:ascii="宋体" w:hAnsi="宋体" w:eastAsia="宋体" w:cs="宋体"/>
          <w:iCs/>
          <w:color w:val="auto"/>
          <w:sz w:val="21"/>
          <w:szCs w:val="21"/>
        </w:rPr>
        <w:t>十二、技术要求响应及偏离表</w:t>
      </w:r>
    </w:p>
    <w:p w14:paraId="633A973B">
      <w:pPr>
        <w:pStyle w:val="32"/>
        <w:spacing w:beforeAutospacing="0" w:afterAutospacing="0" w:line="360" w:lineRule="auto"/>
        <w:ind w:firstLine="480"/>
        <w:jc w:val="both"/>
        <w:rPr>
          <w:rFonts w:ascii="宋体" w:hAnsi="宋体" w:eastAsia="宋体" w:cs="宋体"/>
          <w:iCs/>
          <w:color w:val="auto"/>
          <w:sz w:val="21"/>
          <w:szCs w:val="21"/>
        </w:rPr>
      </w:pPr>
      <w:r>
        <w:rPr>
          <w:rFonts w:hint="eastAsia" w:ascii="宋体" w:hAnsi="宋体" w:eastAsia="宋体" w:cs="宋体"/>
          <w:iCs/>
          <w:color w:val="auto"/>
          <w:sz w:val="21"/>
          <w:szCs w:val="21"/>
        </w:rPr>
        <w:t>十三、商务要求响应及偏离表</w:t>
      </w:r>
    </w:p>
    <w:p w14:paraId="33A42642">
      <w:pPr>
        <w:pStyle w:val="32"/>
        <w:spacing w:beforeAutospacing="0" w:afterAutospacing="0" w:line="360" w:lineRule="auto"/>
        <w:ind w:left="480"/>
        <w:jc w:val="both"/>
        <w:rPr>
          <w:rFonts w:ascii="宋体" w:hAnsi="宋体" w:eastAsia="宋体" w:cs="宋体"/>
          <w:iCs/>
          <w:color w:val="auto"/>
          <w:sz w:val="21"/>
          <w:szCs w:val="21"/>
        </w:rPr>
      </w:pPr>
      <w:r>
        <w:rPr>
          <w:rFonts w:hint="eastAsia" w:ascii="宋体" w:hAnsi="宋体" w:eastAsia="宋体" w:cs="宋体"/>
          <w:iCs/>
          <w:color w:val="auto"/>
          <w:sz w:val="21"/>
          <w:szCs w:val="21"/>
        </w:rPr>
        <w:t>十四、开标一览表</w:t>
      </w:r>
    </w:p>
    <w:p w14:paraId="27C1A740">
      <w:pPr>
        <w:pStyle w:val="32"/>
        <w:spacing w:beforeAutospacing="0" w:afterAutospacing="0" w:line="360" w:lineRule="auto"/>
        <w:ind w:left="480"/>
        <w:jc w:val="both"/>
        <w:rPr>
          <w:rFonts w:ascii="宋体" w:hAnsi="宋体" w:eastAsia="宋体" w:cs="宋体"/>
          <w:iCs/>
          <w:color w:val="auto"/>
          <w:sz w:val="21"/>
          <w:szCs w:val="21"/>
        </w:rPr>
      </w:pPr>
      <w:r>
        <w:rPr>
          <w:rFonts w:hint="eastAsia" w:ascii="宋体" w:hAnsi="宋体" w:eastAsia="宋体" w:cs="宋体"/>
          <w:iCs/>
          <w:color w:val="auto"/>
          <w:sz w:val="21"/>
          <w:szCs w:val="21"/>
        </w:rPr>
        <w:t>十五、技术方案、服务承诺、培训承诺等</w:t>
      </w:r>
    </w:p>
    <w:p w14:paraId="2F3FFF7F">
      <w:pPr>
        <w:pStyle w:val="32"/>
        <w:spacing w:beforeAutospacing="0" w:afterAutospacing="0" w:line="360" w:lineRule="auto"/>
        <w:ind w:firstLine="480"/>
        <w:jc w:val="both"/>
        <w:rPr>
          <w:rFonts w:ascii="宋体" w:hAnsi="宋体" w:eastAsia="宋体" w:cs="宋体"/>
          <w:iCs/>
          <w:color w:val="auto"/>
          <w:sz w:val="21"/>
          <w:szCs w:val="21"/>
        </w:rPr>
      </w:pPr>
      <w:r>
        <w:rPr>
          <w:rFonts w:hint="eastAsia" w:ascii="宋体" w:hAnsi="宋体" w:eastAsia="宋体" w:cs="宋体"/>
          <w:iCs/>
          <w:color w:val="auto"/>
          <w:sz w:val="21"/>
          <w:szCs w:val="21"/>
        </w:rPr>
        <w:t>十六、盐城市政府采购事前信用承诺书</w:t>
      </w:r>
    </w:p>
    <w:p w14:paraId="1F00DC72">
      <w:pPr>
        <w:pStyle w:val="32"/>
        <w:spacing w:beforeAutospacing="0" w:afterAutospacing="0" w:line="360" w:lineRule="auto"/>
        <w:ind w:firstLine="480"/>
        <w:jc w:val="both"/>
        <w:rPr>
          <w:rFonts w:ascii="宋体" w:hAnsi="宋体" w:eastAsia="宋体" w:cs="宋体"/>
          <w:iCs/>
          <w:color w:val="auto"/>
          <w:sz w:val="21"/>
          <w:szCs w:val="21"/>
        </w:rPr>
      </w:pPr>
      <w:r>
        <w:rPr>
          <w:rFonts w:hint="eastAsia" w:ascii="宋体" w:hAnsi="宋体" w:eastAsia="宋体" w:cs="宋体"/>
          <w:iCs/>
          <w:color w:val="auto"/>
          <w:sz w:val="21"/>
          <w:szCs w:val="21"/>
        </w:rPr>
        <w:t>十七、项目建设供应商承诺函</w:t>
      </w:r>
    </w:p>
    <w:p w14:paraId="6487DF0B">
      <w:pPr>
        <w:pStyle w:val="32"/>
        <w:spacing w:beforeAutospacing="0" w:afterAutospacing="0" w:line="360" w:lineRule="auto"/>
        <w:ind w:firstLine="480"/>
        <w:jc w:val="both"/>
        <w:rPr>
          <w:rFonts w:ascii="宋体" w:hAnsi="宋体" w:eastAsia="宋体" w:cs="宋体"/>
          <w:iCs/>
          <w:color w:val="auto"/>
          <w:sz w:val="21"/>
          <w:szCs w:val="21"/>
        </w:rPr>
      </w:pPr>
    </w:p>
    <w:p w14:paraId="6999058A">
      <w:pPr>
        <w:pStyle w:val="32"/>
        <w:spacing w:beforeAutospacing="0" w:afterAutospacing="0" w:line="0" w:lineRule="atLeast"/>
        <w:ind w:firstLine="480"/>
        <w:jc w:val="both"/>
        <w:rPr>
          <w:rFonts w:ascii="宋体" w:hAnsi="宋体" w:eastAsia="宋体" w:cs="宋体"/>
          <w:color w:val="auto"/>
        </w:rPr>
      </w:pPr>
    </w:p>
    <w:p w14:paraId="675910E1">
      <w:pPr>
        <w:pStyle w:val="32"/>
        <w:spacing w:beforeAutospacing="0" w:afterAutospacing="0" w:line="0" w:lineRule="atLeast"/>
        <w:ind w:firstLine="480"/>
        <w:jc w:val="both"/>
        <w:rPr>
          <w:rFonts w:ascii="宋体" w:hAnsi="宋体" w:eastAsia="宋体" w:cs="宋体"/>
          <w:color w:val="auto"/>
        </w:rPr>
      </w:pPr>
    </w:p>
    <w:p w14:paraId="7C7CF090">
      <w:pPr>
        <w:pStyle w:val="32"/>
        <w:spacing w:beforeAutospacing="0" w:afterAutospacing="0" w:line="0" w:lineRule="atLeast"/>
        <w:ind w:firstLine="480"/>
        <w:jc w:val="both"/>
        <w:rPr>
          <w:color w:val="auto"/>
        </w:rPr>
      </w:pPr>
      <w:r>
        <w:rPr>
          <w:color w:val="auto"/>
        </w:rPr>
        <w:t> </w:t>
      </w:r>
    </w:p>
    <w:p w14:paraId="39DAC95D">
      <w:pPr>
        <w:pStyle w:val="32"/>
        <w:spacing w:beforeAutospacing="0" w:afterAutospacing="0" w:line="0" w:lineRule="atLeast"/>
        <w:ind w:firstLine="480"/>
        <w:jc w:val="both"/>
        <w:rPr>
          <w:color w:val="auto"/>
        </w:rPr>
      </w:pPr>
      <w:r>
        <w:rPr>
          <w:color w:val="auto"/>
        </w:rPr>
        <w:t> </w:t>
      </w:r>
    </w:p>
    <w:p w14:paraId="484EFCCC">
      <w:pPr>
        <w:pStyle w:val="32"/>
        <w:spacing w:beforeAutospacing="0" w:afterAutospacing="0" w:line="0" w:lineRule="atLeast"/>
        <w:ind w:firstLine="480"/>
        <w:jc w:val="both"/>
        <w:rPr>
          <w:color w:val="auto"/>
        </w:rPr>
      </w:pPr>
      <w:r>
        <w:rPr>
          <w:color w:val="auto"/>
        </w:rPr>
        <w:t> </w:t>
      </w:r>
    </w:p>
    <w:p w14:paraId="09E2777F">
      <w:pPr>
        <w:pStyle w:val="32"/>
        <w:spacing w:beforeAutospacing="0" w:afterAutospacing="0" w:line="0" w:lineRule="atLeast"/>
        <w:ind w:firstLine="480"/>
        <w:jc w:val="both"/>
        <w:rPr>
          <w:color w:val="auto"/>
        </w:rPr>
      </w:pPr>
      <w:r>
        <w:rPr>
          <w:color w:val="auto"/>
        </w:rPr>
        <w:t> </w:t>
      </w:r>
    </w:p>
    <w:p w14:paraId="2521E7C6">
      <w:pPr>
        <w:pStyle w:val="32"/>
        <w:spacing w:beforeAutospacing="0" w:afterAutospacing="0" w:line="0" w:lineRule="atLeast"/>
        <w:ind w:firstLine="480"/>
        <w:jc w:val="both"/>
        <w:rPr>
          <w:color w:val="auto"/>
        </w:rPr>
      </w:pPr>
    </w:p>
    <w:p w14:paraId="21BF6438">
      <w:pPr>
        <w:pStyle w:val="32"/>
        <w:spacing w:beforeAutospacing="0" w:afterAutospacing="0" w:line="0" w:lineRule="atLeast"/>
        <w:ind w:firstLine="480"/>
        <w:jc w:val="both"/>
        <w:rPr>
          <w:color w:val="auto"/>
        </w:rPr>
      </w:pPr>
    </w:p>
    <w:p w14:paraId="20F079A0">
      <w:pPr>
        <w:pStyle w:val="32"/>
        <w:spacing w:beforeAutospacing="0" w:afterAutospacing="0" w:line="0" w:lineRule="atLeast"/>
        <w:ind w:firstLine="480"/>
        <w:jc w:val="both"/>
        <w:rPr>
          <w:color w:val="auto"/>
        </w:rPr>
      </w:pPr>
    </w:p>
    <w:p w14:paraId="494B3A50">
      <w:pPr>
        <w:pStyle w:val="32"/>
        <w:spacing w:beforeAutospacing="0" w:afterAutospacing="0" w:line="0" w:lineRule="atLeast"/>
        <w:ind w:firstLine="480"/>
        <w:jc w:val="both"/>
        <w:rPr>
          <w:color w:val="auto"/>
        </w:rPr>
      </w:pPr>
    </w:p>
    <w:p w14:paraId="778816E6">
      <w:pPr>
        <w:pStyle w:val="32"/>
        <w:spacing w:beforeAutospacing="0" w:afterAutospacing="0" w:line="0" w:lineRule="atLeast"/>
        <w:ind w:firstLine="480"/>
        <w:jc w:val="both"/>
        <w:rPr>
          <w:color w:val="auto"/>
        </w:rPr>
      </w:pPr>
    </w:p>
    <w:p w14:paraId="4BD33D62">
      <w:pPr>
        <w:pStyle w:val="32"/>
        <w:spacing w:beforeAutospacing="0" w:afterAutospacing="0" w:line="0" w:lineRule="atLeast"/>
        <w:jc w:val="both"/>
        <w:rPr>
          <w:color w:val="auto"/>
        </w:rPr>
      </w:pPr>
    </w:p>
    <w:p w14:paraId="179482ED">
      <w:pPr>
        <w:pStyle w:val="32"/>
        <w:spacing w:beforeAutospacing="0" w:afterAutospacing="0" w:line="0" w:lineRule="atLeast"/>
        <w:ind w:firstLine="480"/>
        <w:jc w:val="both"/>
        <w:rPr>
          <w:color w:val="auto"/>
        </w:rPr>
      </w:pPr>
      <w:r>
        <w:rPr>
          <w:color w:val="auto"/>
        </w:rPr>
        <w:t> </w:t>
      </w:r>
    </w:p>
    <w:p w14:paraId="6992F389">
      <w:pPr>
        <w:pStyle w:val="32"/>
        <w:spacing w:beforeAutospacing="0" w:afterAutospacing="0"/>
        <w:jc w:val="both"/>
        <w:rPr>
          <w:color w:val="auto"/>
        </w:rPr>
      </w:pPr>
      <w:r>
        <w:rPr>
          <w:rFonts w:hint="eastAsia" w:ascii="黑体" w:hAnsi="宋体" w:eastAsia="黑体" w:cs="黑体"/>
          <w:i/>
          <w:color w:val="auto"/>
          <w:sz w:val="32"/>
          <w:szCs w:val="32"/>
          <w:u w:val="single"/>
        </w:rPr>
        <w:t>一、法人或者其他组织的营业执照等证明文件，自然人的身份证明</w:t>
      </w:r>
    </w:p>
    <w:p w14:paraId="2BFDD6E6">
      <w:pPr>
        <w:pStyle w:val="32"/>
        <w:spacing w:beforeAutospacing="0" w:afterAutospacing="0" w:line="0" w:lineRule="atLeast"/>
        <w:ind w:firstLine="480"/>
        <w:jc w:val="both"/>
        <w:rPr>
          <w:color w:val="auto"/>
        </w:rPr>
      </w:pPr>
      <w:r>
        <w:rPr>
          <w:color w:val="auto"/>
        </w:rPr>
        <w:t> </w:t>
      </w:r>
    </w:p>
    <w:p w14:paraId="157C0529">
      <w:pPr>
        <w:pStyle w:val="32"/>
        <w:spacing w:beforeAutospacing="0" w:afterAutospacing="0"/>
        <w:jc w:val="both"/>
        <w:rPr>
          <w:rFonts w:eastAsia="黑体"/>
          <w:color w:val="auto"/>
        </w:rPr>
      </w:pPr>
      <w:r>
        <w:rPr>
          <w:rFonts w:hint="eastAsia" w:ascii="黑体" w:hAnsi="宋体" w:eastAsia="黑体" w:cs="黑体"/>
          <w:i/>
          <w:color w:val="auto"/>
          <w:sz w:val="32"/>
          <w:szCs w:val="32"/>
          <w:u w:val="single"/>
        </w:rPr>
        <w:t>二、上一年度的财务状况报告</w:t>
      </w:r>
    </w:p>
    <w:p w14:paraId="7A4AE9C9">
      <w:pPr>
        <w:tabs>
          <w:tab w:val="left" w:pos="1331"/>
        </w:tabs>
        <w:jc w:val="left"/>
        <w:rPr>
          <w:rFonts w:ascii="宋体" w:hAnsi="宋体" w:eastAsia="宋体" w:cs="宋体"/>
          <w:iCs/>
          <w:color w:val="auto"/>
          <w:sz w:val="24"/>
        </w:rPr>
      </w:pPr>
      <w:r>
        <w:rPr>
          <w:rFonts w:hint="eastAsia" w:ascii="宋体" w:hAnsi="宋体" w:eastAsia="宋体" w:cs="宋体"/>
          <w:iCs/>
          <w:color w:val="auto"/>
          <w:sz w:val="24"/>
        </w:rPr>
        <w:t>（至少提供资产负债表、利润表、现金流量表，投标人成立不满一年无需提供）</w:t>
      </w:r>
    </w:p>
    <w:p w14:paraId="140477B0">
      <w:pPr>
        <w:pStyle w:val="32"/>
        <w:spacing w:beforeAutospacing="0" w:afterAutospacing="0" w:line="0" w:lineRule="atLeast"/>
        <w:ind w:firstLine="480"/>
        <w:jc w:val="both"/>
        <w:rPr>
          <w:color w:val="auto"/>
        </w:rPr>
      </w:pPr>
    </w:p>
    <w:p w14:paraId="358EB8C5">
      <w:pPr>
        <w:pStyle w:val="32"/>
        <w:spacing w:beforeAutospacing="0" w:afterAutospacing="0"/>
        <w:jc w:val="both"/>
        <w:rPr>
          <w:color w:val="auto"/>
        </w:rPr>
      </w:pPr>
      <w:r>
        <w:rPr>
          <w:color w:val="auto"/>
        </w:rPr>
        <w:t> </w:t>
      </w:r>
    </w:p>
    <w:p w14:paraId="690E4908">
      <w:pPr>
        <w:pStyle w:val="32"/>
        <w:spacing w:beforeAutospacing="0" w:afterAutospacing="0"/>
        <w:jc w:val="both"/>
        <w:rPr>
          <w:color w:val="auto"/>
        </w:rPr>
      </w:pPr>
      <w:r>
        <w:rPr>
          <w:color w:val="auto"/>
        </w:rPr>
        <w:t> </w:t>
      </w:r>
    </w:p>
    <w:p w14:paraId="23321222">
      <w:pPr>
        <w:pStyle w:val="32"/>
        <w:spacing w:beforeAutospacing="0" w:afterAutospacing="0"/>
        <w:jc w:val="both"/>
        <w:rPr>
          <w:color w:val="auto"/>
        </w:rPr>
      </w:pPr>
      <w:r>
        <w:rPr>
          <w:rFonts w:hint="eastAsia" w:ascii="黑体" w:hAnsi="宋体" w:eastAsia="黑体" w:cs="黑体"/>
          <w:i/>
          <w:color w:val="auto"/>
          <w:sz w:val="32"/>
          <w:szCs w:val="32"/>
          <w:u w:val="single"/>
        </w:rPr>
        <w:t>三、具备履行合同所必需的设备和专业技术能力的书面声明</w:t>
      </w:r>
    </w:p>
    <w:p w14:paraId="494DAE6A">
      <w:pPr>
        <w:pStyle w:val="32"/>
        <w:spacing w:beforeAutospacing="0" w:afterAutospacing="0" w:line="0" w:lineRule="atLeast"/>
        <w:ind w:firstLine="492"/>
        <w:jc w:val="both"/>
        <w:rPr>
          <w:color w:val="auto"/>
        </w:rPr>
      </w:pPr>
      <w:r>
        <w:rPr>
          <w:rFonts w:hint="eastAsia" w:ascii="宋体" w:hAnsi="宋体" w:eastAsia="宋体" w:cs="宋体"/>
          <w:color w:val="auto"/>
        </w:rPr>
        <w:t>我单位郑重声明：我单位具备履行本项采购合同所必需的设备和专业技术能力，为履行本项采购合同我公司具备如下主要设备和主要专业技术能力：</w:t>
      </w:r>
    </w:p>
    <w:p w14:paraId="68A93C70">
      <w:pPr>
        <w:pStyle w:val="32"/>
        <w:spacing w:beforeAutospacing="0" w:afterAutospacing="0" w:line="0" w:lineRule="atLeast"/>
        <w:ind w:firstLine="492"/>
        <w:jc w:val="both"/>
        <w:rPr>
          <w:color w:val="auto"/>
        </w:rPr>
      </w:pPr>
      <w:r>
        <w:rPr>
          <w:rFonts w:hint="eastAsia" w:ascii="宋体" w:hAnsi="宋体" w:eastAsia="宋体" w:cs="宋体"/>
          <w:color w:val="auto"/>
        </w:rPr>
        <w:t>主要设备有：</w:t>
      </w:r>
      <w:r>
        <w:rPr>
          <w:rFonts w:hint="eastAsia" w:ascii="宋体" w:hAnsi="宋体" w:eastAsia="宋体" w:cs="宋体"/>
          <w:color w:val="auto"/>
          <w:u w:val="single"/>
        </w:rPr>
        <w:t xml:space="preserve">  </w:t>
      </w:r>
      <w:r>
        <w:rPr>
          <w:rFonts w:hint="eastAsia" w:ascii="宋体" w:hAnsi="宋体" w:eastAsia="宋体" w:cs="宋体"/>
          <w:color w:val="auto"/>
        </w:rPr>
        <w:t>。</w:t>
      </w:r>
    </w:p>
    <w:p w14:paraId="211DF98A">
      <w:pPr>
        <w:pStyle w:val="32"/>
        <w:spacing w:beforeAutospacing="0" w:afterAutospacing="0"/>
        <w:jc w:val="both"/>
        <w:rPr>
          <w:rFonts w:ascii="宋体" w:hAnsi="宋体" w:eastAsia="宋体" w:cs="宋体"/>
          <w:color w:val="auto"/>
        </w:rPr>
      </w:pPr>
      <w:r>
        <w:rPr>
          <w:rFonts w:hint="eastAsia" w:ascii="宋体" w:hAnsi="宋体" w:eastAsia="宋体" w:cs="宋体"/>
          <w:color w:val="auto"/>
        </w:rPr>
        <w:t>主要专业技术能力有：</w:t>
      </w:r>
      <w:r>
        <w:rPr>
          <w:rFonts w:hint="eastAsia" w:ascii="宋体" w:hAnsi="宋体" w:eastAsia="宋体" w:cs="宋体"/>
          <w:color w:val="auto"/>
          <w:u w:val="single"/>
        </w:rPr>
        <w:t xml:space="preserve">   </w:t>
      </w:r>
      <w:r>
        <w:rPr>
          <w:rFonts w:hint="eastAsia" w:ascii="宋体" w:hAnsi="宋体" w:eastAsia="宋体" w:cs="宋体"/>
          <w:color w:val="auto"/>
        </w:rPr>
        <w:t>。</w:t>
      </w:r>
    </w:p>
    <w:p w14:paraId="7380961D">
      <w:pPr>
        <w:pStyle w:val="32"/>
        <w:spacing w:beforeAutospacing="0" w:afterAutospacing="0"/>
        <w:jc w:val="both"/>
        <w:rPr>
          <w:color w:val="auto"/>
        </w:rPr>
      </w:pPr>
      <w:r>
        <w:rPr>
          <w:rFonts w:hint="eastAsia" w:ascii="黑体" w:hAnsi="宋体" w:eastAsia="黑体" w:cs="黑体"/>
          <w:i/>
          <w:color w:val="auto"/>
          <w:sz w:val="32"/>
          <w:szCs w:val="32"/>
          <w:u w:val="single"/>
        </w:rPr>
        <w:t>四、依法缴纳税收和社会保障资金的相关材料</w:t>
      </w:r>
    </w:p>
    <w:p w14:paraId="6CB5E572">
      <w:pPr>
        <w:pStyle w:val="32"/>
        <w:spacing w:beforeAutospacing="0" w:afterAutospacing="0"/>
        <w:ind w:firstLine="480"/>
        <w:jc w:val="both"/>
        <w:rPr>
          <w:color w:val="auto"/>
        </w:rPr>
      </w:pPr>
      <w:bookmarkStart w:id="195" w:name="_Toc120614284"/>
      <w:r>
        <w:rPr>
          <w:rFonts w:hint="eastAsia" w:ascii="宋体" w:hAnsi="宋体" w:eastAsia="宋体" w:cs="宋体"/>
          <w:color w:val="auto"/>
        </w:rPr>
        <w:t>提供提交投标文件截止时间前一年内至少一个月依法缴纳税收及缴纳社会保障资金的证明材料。投标人依法享受缓缴、免缴税收、社会保障资金的提供证明材料。</w:t>
      </w:r>
      <w:bookmarkEnd w:id="195"/>
    </w:p>
    <w:p w14:paraId="41DE963D">
      <w:pPr>
        <w:pStyle w:val="32"/>
        <w:spacing w:beforeAutospacing="0" w:afterAutospacing="0"/>
        <w:jc w:val="both"/>
        <w:rPr>
          <w:color w:val="auto"/>
        </w:rPr>
      </w:pPr>
      <w:r>
        <w:rPr>
          <w:rFonts w:hint="eastAsia" w:ascii="黑体" w:hAnsi="宋体" w:eastAsia="黑体" w:cs="黑体"/>
          <w:i/>
          <w:color w:val="auto"/>
          <w:sz w:val="32"/>
          <w:szCs w:val="32"/>
          <w:u w:val="single"/>
        </w:rPr>
        <w:t>五、参加政府采购活动前 3 年内在经营活动中没有重大违法记录的书面声明</w:t>
      </w:r>
    </w:p>
    <w:p w14:paraId="224E513C">
      <w:pPr>
        <w:pStyle w:val="32"/>
        <w:spacing w:beforeAutospacing="0" w:afterAutospacing="0" w:line="0" w:lineRule="atLeast"/>
        <w:jc w:val="both"/>
        <w:rPr>
          <w:color w:val="auto"/>
        </w:rPr>
      </w:pPr>
      <w:r>
        <w:rPr>
          <w:rFonts w:hint="eastAsia" w:ascii="宋体" w:hAnsi="宋体" w:eastAsia="宋体" w:cs="宋体"/>
          <w:b/>
          <w:color w:val="auto"/>
          <w:sz w:val="44"/>
          <w:szCs w:val="44"/>
        </w:rPr>
        <w:t>       声  明</w:t>
      </w:r>
    </w:p>
    <w:p w14:paraId="15E77D6A">
      <w:pPr>
        <w:pStyle w:val="32"/>
        <w:spacing w:beforeAutospacing="0" w:afterAutospacing="0" w:line="0" w:lineRule="atLeast"/>
        <w:jc w:val="both"/>
        <w:rPr>
          <w:color w:val="auto"/>
        </w:rPr>
      </w:pPr>
      <w:r>
        <w:rPr>
          <w:rFonts w:hint="eastAsia" w:ascii="宋体" w:hAnsi="宋体" w:eastAsia="宋体" w:cs="宋体"/>
          <w:b/>
          <w:color w:val="auto"/>
        </w:rPr>
        <w:t xml:space="preserve">    </w:t>
      </w:r>
      <w:r>
        <w:rPr>
          <w:rFonts w:hint="eastAsia" w:ascii="宋体" w:hAnsi="宋体" w:eastAsia="宋体" w:cs="宋体"/>
          <w:color w:val="auto"/>
        </w:rPr>
        <w:t>我单位郑重声明：参加本次政府采购活动前 3 年内，我单位在经营活动中没有因违法经营受到刑事处罚或者责令停产停业、吊销许可证或者执照、较大数额罚款等行政处罚。</w:t>
      </w:r>
    </w:p>
    <w:p w14:paraId="6878FD54">
      <w:pPr>
        <w:pStyle w:val="32"/>
        <w:spacing w:beforeAutospacing="0" w:afterAutospacing="0"/>
        <w:jc w:val="both"/>
        <w:rPr>
          <w:color w:val="auto"/>
        </w:rPr>
      </w:pPr>
      <w:r>
        <w:rPr>
          <w:color w:val="auto"/>
        </w:rPr>
        <w:t> </w:t>
      </w:r>
    </w:p>
    <w:p w14:paraId="367D303E">
      <w:pPr>
        <w:pStyle w:val="32"/>
        <w:spacing w:beforeAutospacing="0" w:afterAutospacing="0"/>
        <w:jc w:val="both"/>
        <w:rPr>
          <w:color w:val="auto"/>
        </w:rPr>
      </w:pPr>
      <w:r>
        <w:rPr>
          <w:rFonts w:hint="eastAsia" w:ascii="黑体" w:hAnsi="宋体" w:eastAsia="黑体" w:cs="黑体"/>
          <w:i/>
          <w:color w:val="auto"/>
          <w:sz w:val="32"/>
          <w:szCs w:val="32"/>
          <w:u w:val="single"/>
        </w:rPr>
        <w:t>六、特定资格要求的证明文件</w:t>
      </w:r>
    </w:p>
    <w:p w14:paraId="7CE4B3BA">
      <w:pPr>
        <w:pStyle w:val="32"/>
        <w:spacing w:beforeAutospacing="0" w:afterAutospacing="0" w:line="0" w:lineRule="atLeast"/>
        <w:jc w:val="both"/>
        <w:rPr>
          <w:color w:val="auto"/>
        </w:rPr>
      </w:pPr>
      <w:r>
        <w:rPr>
          <w:rFonts w:hint="eastAsia" w:ascii="宋体" w:hAnsi="宋体" w:eastAsia="宋体" w:cs="宋体"/>
          <w:color w:val="auto"/>
        </w:rPr>
        <w:t>    如果本项目申请人的特定资格要求中要求提供的，必须提供。</w:t>
      </w:r>
    </w:p>
    <w:p w14:paraId="1272F0A1">
      <w:pPr>
        <w:pStyle w:val="32"/>
        <w:spacing w:beforeAutospacing="0" w:afterAutospacing="0" w:line="0" w:lineRule="atLeast"/>
        <w:jc w:val="both"/>
        <w:rPr>
          <w:color w:val="auto"/>
        </w:rPr>
      </w:pPr>
      <w:r>
        <w:rPr>
          <w:color w:val="auto"/>
        </w:rPr>
        <w:t> </w:t>
      </w:r>
    </w:p>
    <w:p w14:paraId="05472BBA">
      <w:pPr>
        <w:pStyle w:val="32"/>
        <w:spacing w:beforeAutospacing="0" w:afterAutospacing="0"/>
        <w:jc w:val="center"/>
        <w:rPr>
          <w:rFonts w:ascii="黑体" w:hAnsi="宋体" w:eastAsia="黑体" w:cs="黑体"/>
          <w:i/>
          <w:color w:val="auto"/>
          <w:sz w:val="32"/>
          <w:szCs w:val="32"/>
          <w:u w:val="single"/>
        </w:rPr>
      </w:pPr>
    </w:p>
    <w:p w14:paraId="392F3116">
      <w:pPr>
        <w:pStyle w:val="32"/>
        <w:spacing w:beforeAutospacing="0" w:afterAutospacing="0"/>
        <w:jc w:val="center"/>
        <w:rPr>
          <w:rFonts w:ascii="黑体" w:hAnsi="宋体" w:eastAsia="黑体" w:cs="黑体"/>
          <w:i/>
          <w:color w:val="auto"/>
          <w:sz w:val="32"/>
          <w:szCs w:val="32"/>
          <w:u w:val="single"/>
        </w:rPr>
      </w:pPr>
    </w:p>
    <w:p w14:paraId="5D6833AC">
      <w:pPr>
        <w:pStyle w:val="32"/>
        <w:spacing w:beforeAutospacing="0" w:afterAutospacing="0"/>
        <w:jc w:val="center"/>
        <w:rPr>
          <w:rFonts w:ascii="黑体" w:hAnsi="宋体" w:eastAsia="黑体" w:cs="黑体"/>
          <w:i/>
          <w:color w:val="auto"/>
          <w:sz w:val="32"/>
          <w:szCs w:val="32"/>
          <w:u w:val="single"/>
        </w:rPr>
      </w:pPr>
    </w:p>
    <w:p w14:paraId="0E7BC260">
      <w:pPr>
        <w:pStyle w:val="32"/>
        <w:spacing w:beforeAutospacing="0" w:afterAutospacing="0"/>
        <w:jc w:val="center"/>
        <w:rPr>
          <w:rFonts w:ascii="黑体" w:hAnsi="宋体" w:eastAsia="黑体" w:cs="黑体"/>
          <w:i/>
          <w:color w:val="auto"/>
          <w:sz w:val="32"/>
          <w:szCs w:val="32"/>
          <w:u w:val="single"/>
        </w:rPr>
      </w:pPr>
    </w:p>
    <w:p w14:paraId="33D54612">
      <w:pPr>
        <w:pStyle w:val="32"/>
        <w:spacing w:beforeAutospacing="0" w:afterAutospacing="0"/>
        <w:jc w:val="center"/>
        <w:rPr>
          <w:rFonts w:ascii="黑体" w:hAnsi="宋体" w:eastAsia="黑体" w:cs="黑体"/>
          <w:i/>
          <w:color w:val="auto"/>
          <w:sz w:val="32"/>
          <w:szCs w:val="32"/>
          <w:u w:val="single"/>
        </w:rPr>
      </w:pPr>
    </w:p>
    <w:p w14:paraId="08CF321D">
      <w:pPr>
        <w:pStyle w:val="32"/>
        <w:spacing w:beforeAutospacing="0" w:afterAutospacing="0"/>
        <w:jc w:val="center"/>
        <w:rPr>
          <w:rFonts w:ascii="黑体" w:hAnsi="宋体" w:eastAsia="黑体" w:cs="黑体"/>
          <w:i/>
          <w:color w:val="auto"/>
          <w:sz w:val="32"/>
          <w:szCs w:val="32"/>
          <w:u w:val="single"/>
        </w:rPr>
      </w:pPr>
    </w:p>
    <w:p w14:paraId="1F6115B6">
      <w:pPr>
        <w:pStyle w:val="32"/>
        <w:spacing w:beforeAutospacing="0" w:afterAutospacing="0"/>
        <w:jc w:val="center"/>
        <w:rPr>
          <w:rFonts w:ascii="黑体" w:hAnsi="宋体" w:eastAsia="黑体" w:cs="黑体"/>
          <w:i/>
          <w:color w:val="auto"/>
          <w:sz w:val="32"/>
          <w:szCs w:val="32"/>
          <w:u w:val="single"/>
        </w:rPr>
      </w:pPr>
    </w:p>
    <w:p w14:paraId="6C19EDBE">
      <w:pPr>
        <w:pStyle w:val="32"/>
        <w:spacing w:beforeAutospacing="0" w:afterAutospacing="0"/>
        <w:jc w:val="center"/>
        <w:rPr>
          <w:rFonts w:ascii="黑体" w:hAnsi="宋体" w:eastAsia="黑体" w:cs="黑体"/>
          <w:i/>
          <w:color w:val="auto"/>
          <w:sz w:val="32"/>
          <w:szCs w:val="32"/>
          <w:u w:val="single"/>
        </w:rPr>
      </w:pPr>
    </w:p>
    <w:p w14:paraId="2D67951F">
      <w:pPr>
        <w:pStyle w:val="32"/>
        <w:spacing w:beforeAutospacing="0" w:afterAutospacing="0"/>
        <w:jc w:val="both"/>
        <w:rPr>
          <w:rFonts w:ascii="黑体" w:hAnsi="宋体" w:eastAsia="黑体" w:cs="黑体"/>
          <w:i/>
          <w:color w:val="auto"/>
          <w:sz w:val="32"/>
          <w:szCs w:val="32"/>
          <w:u w:val="single"/>
        </w:rPr>
      </w:pPr>
    </w:p>
    <w:p w14:paraId="58CBA22A">
      <w:pPr>
        <w:pStyle w:val="32"/>
        <w:spacing w:beforeAutospacing="0" w:afterAutospacing="0"/>
        <w:jc w:val="center"/>
        <w:rPr>
          <w:color w:val="auto"/>
          <w:u w:val="single"/>
        </w:rPr>
      </w:pPr>
      <w:r>
        <w:rPr>
          <w:rFonts w:hint="eastAsia" w:ascii="黑体" w:hAnsi="宋体" w:eastAsia="黑体" w:cs="黑体"/>
          <w:i/>
          <w:color w:val="auto"/>
          <w:sz w:val="32"/>
          <w:szCs w:val="32"/>
          <w:u w:val="single"/>
        </w:rPr>
        <w:t>七、法人授权书</w:t>
      </w:r>
    </w:p>
    <w:p w14:paraId="05D36AFB">
      <w:pPr>
        <w:pStyle w:val="32"/>
        <w:tabs>
          <w:tab w:val="left" w:pos="360"/>
        </w:tabs>
        <w:spacing w:beforeAutospacing="0" w:afterAutospacing="0" w:line="360" w:lineRule="auto"/>
        <w:ind w:firstLine="480"/>
        <w:jc w:val="both"/>
        <w:rPr>
          <w:color w:val="auto"/>
          <w:sz w:val="21"/>
          <w:szCs w:val="21"/>
        </w:rPr>
      </w:pPr>
      <w:r>
        <w:rPr>
          <w:rFonts w:ascii="Times New Roman" w:hAnsi="Times New Roman"/>
          <w:color w:val="auto"/>
          <w:sz w:val="21"/>
          <w:szCs w:val="21"/>
        </w:rPr>
        <w:t>本授权书声明：____________（投标人名称）授权________________（被授权人的姓名）为我方就JSZC-</w:t>
      </w:r>
      <w:r>
        <w:rPr>
          <w:rFonts w:ascii="Times New Roman" w:hAnsi="Times New Roman"/>
          <w:color w:val="auto"/>
          <w:sz w:val="21"/>
          <w:szCs w:val="21"/>
          <w:u w:val="single"/>
        </w:rPr>
        <w:t xml:space="preserve">        </w:t>
      </w:r>
      <w:r>
        <w:rPr>
          <w:rFonts w:ascii="Times New Roman" w:hAnsi="Times New Roman"/>
          <w:color w:val="auto"/>
          <w:sz w:val="21"/>
          <w:szCs w:val="21"/>
        </w:rPr>
        <w:t>号项目采购活动的合法代理人，以本单位名义全权处理一切与该项目采购有关的事务。</w:t>
      </w:r>
    </w:p>
    <w:p w14:paraId="79228868">
      <w:pPr>
        <w:pStyle w:val="32"/>
        <w:tabs>
          <w:tab w:val="left" w:pos="360"/>
        </w:tabs>
        <w:spacing w:beforeAutospacing="0" w:afterAutospacing="0" w:line="360" w:lineRule="auto"/>
        <w:ind w:firstLine="480"/>
        <w:jc w:val="both"/>
        <w:rPr>
          <w:color w:val="auto"/>
          <w:sz w:val="21"/>
          <w:szCs w:val="21"/>
        </w:rPr>
      </w:pPr>
      <w:r>
        <w:rPr>
          <w:rFonts w:ascii="Times New Roman" w:hAnsi="Times New Roman"/>
          <w:color w:val="auto"/>
          <w:sz w:val="21"/>
          <w:szCs w:val="21"/>
        </w:rPr>
        <w:t>本授权书于______年____月____日起生效，特此声明。</w:t>
      </w:r>
    </w:p>
    <w:p w14:paraId="19BAA64F">
      <w:pPr>
        <w:pStyle w:val="32"/>
        <w:tabs>
          <w:tab w:val="left" w:pos="360"/>
        </w:tabs>
        <w:spacing w:beforeAutospacing="0" w:afterAutospacing="0" w:line="360" w:lineRule="auto"/>
        <w:jc w:val="both"/>
        <w:rPr>
          <w:color w:val="auto"/>
          <w:sz w:val="21"/>
          <w:szCs w:val="21"/>
        </w:rPr>
      </w:pPr>
      <w:r>
        <w:rPr>
          <w:rFonts w:ascii="Times New Roman" w:hAnsi="Times New Roman"/>
          <w:color w:val="auto"/>
          <w:sz w:val="21"/>
          <w:szCs w:val="21"/>
        </w:rPr>
        <w:t>          被授权人身份证号码：</w:t>
      </w:r>
      <w:r>
        <w:rPr>
          <w:rFonts w:ascii="Times New Roman" w:hAnsi="Times New Roman"/>
          <w:color w:val="auto"/>
          <w:sz w:val="21"/>
          <w:szCs w:val="21"/>
          <w:u w:val="single"/>
        </w:rPr>
        <w:t xml:space="preserve">                              </w:t>
      </w:r>
    </w:p>
    <w:p w14:paraId="7068F633">
      <w:pPr>
        <w:pStyle w:val="32"/>
        <w:tabs>
          <w:tab w:val="left" w:pos="360"/>
        </w:tabs>
        <w:spacing w:beforeAutospacing="0" w:afterAutospacing="0" w:line="360" w:lineRule="auto"/>
        <w:jc w:val="both"/>
        <w:rPr>
          <w:color w:val="auto"/>
          <w:sz w:val="21"/>
          <w:szCs w:val="21"/>
        </w:rPr>
      </w:pPr>
      <w:r>
        <w:rPr>
          <w:rFonts w:ascii="Times New Roman" w:hAnsi="Times New Roman"/>
          <w:color w:val="auto"/>
          <w:sz w:val="21"/>
          <w:szCs w:val="21"/>
        </w:rPr>
        <w:t>          被授权人联系电话：（手机）</w:t>
      </w:r>
      <w:r>
        <w:rPr>
          <w:rFonts w:ascii="Times New Roman" w:hAnsi="Times New Roman"/>
          <w:color w:val="auto"/>
          <w:sz w:val="21"/>
          <w:szCs w:val="21"/>
          <w:u w:val="single"/>
        </w:rPr>
        <w:t xml:space="preserve">                          </w:t>
      </w:r>
    </w:p>
    <w:p w14:paraId="6CCC0488">
      <w:pPr>
        <w:pStyle w:val="32"/>
        <w:tabs>
          <w:tab w:val="left" w:pos="360"/>
        </w:tabs>
        <w:spacing w:beforeAutospacing="0" w:afterAutospacing="0" w:line="360" w:lineRule="auto"/>
        <w:ind w:firstLine="1200"/>
        <w:jc w:val="both"/>
        <w:rPr>
          <w:color w:val="auto"/>
          <w:sz w:val="21"/>
          <w:szCs w:val="21"/>
        </w:rPr>
      </w:pPr>
      <w:r>
        <w:rPr>
          <w:rFonts w:ascii="Times New Roman" w:hAnsi="Times New Roman"/>
          <w:color w:val="auto"/>
          <w:sz w:val="21"/>
          <w:szCs w:val="21"/>
        </w:rPr>
        <w:t>授权单位名称：</w:t>
      </w:r>
      <w:r>
        <w:rPr>
          <w:rFonts w:ascii="Times New Roman" w:hAnsi="Times New Roman"/>
          <w:color w:val="auto"/>
          <w:sz w:val="21"/>
          <w:szCs w:val="21"/>
          <w:u w:val="single"/>
        </w:rPr>
        <w:t>（加盖CA电子公章）</w:t>
      </w:r>
    </w:p>
    <w:p w14:paraId="7011C224">
      <w:pPr>
        <w:pStyle w:val="32"/>
        <w:tabs>
          <w:tab w:val="left" w:pos="360"/>
        </w:tabs>
        <w:spacing w:beforeAutospacing="0" w:afterAutospacing="0" w:line="360" w:lineRule="auto"/>
        <w:ind w:firstLine="480"/>
        <w:jc w:val="both"/>
        <w:rPr>
          <w:color w:val="auto"/>
          <w:sz w:val="21"/>
          <w:szCs w:val="21"/>
        </w:rPr>
      </w:pPr>
      <w:r>
        <w:rPr>
          <w:rFonts w:ascii="Times New Roman" w:hAnsi="Times New Roman"/>
          <w:color w:val="auto"/>
          <w:sz w:val="21"/>
          <w:szCs w:val="21"/>
        </w:rPr>
        <w:t>      单位地址：</w:t>
      </w:r>
      <w:r>
        <w:rPr>
          <w:rFonts w:ascii="Times New Roman" w:hAnsi="Times New Roman"/>
          <w:color w:val="auto"/>
          <w:sz w:val="21"/>
          <w:szCs w:val="21"/>
          <w:u w:val="single"/>
        </w:rPr>
        <w:t xml:space="preserve">                                         </w:t>
      </w:r>
    </w:p>
    <w:p w14:paraId="7B340A0D">
      <w:pPr>
        <w:pStyle w:val="32"/>
        <w:tabs>
          <w:tab w:val="left" w:pos="360"/>
        </w:tabs>
        <w:spacing w:beforeAutospacing="0" w:afterAutospacing="0" w:line="360" w:lineRule="auto"/>
        <w:ind w:firstLine="480"/>
        <w:jc w:val="both"/>
        <w:rPr>
          <w:color w:val="auto"/>
          <w:sz w:val="21"/>
          <w:szCs w:val="21"/>
        </w:rPr>
      </w:pPr>
      <w:r>
        <w:rPr>
          <w:rFonts w:ascii="Times New Roman" w:hAnsi="Times New Roman"/>
          <w:color w:val="auto"/>
          <w:sz w:val="21"/>
          <w:szCs w:val="21"/>
        </w:rPr>
        <w:t>      日期：</w:t>
      </w:r>
      <w:bookmarkStart w:id="196" w:name="_格式3__银行出具的资信证明"/>
      <w:bookmarkStart w:id="197" w:name="_Hlt26955070"/>
      <w:bookmarkStart w:id="198" w:name="_Hlt26671380"/>
      <w:r>
        <w:rPr>
          <w:rFonts w:ascii="Times New Roman" w:hAnsi="Times New Roman"/>
          <w:color w:val="auto"/>
          <w:sz w:val="21"/>
          <w:szCs w:val="21"/>
          <w:u w:val="single"/>
        </w:rPr>
        <w:t xml:space="preserve">                                         </w:t>
      </w:r>
    </w:p>
    <w:p w14:paraId="4581AEE0">
      <w:pPr>
        <w:pStyle w:val="32"/>
        <w:spacing w:beforeAutospacing="0" w:afterAutospacing="0" w:line="360" w:lineRule="auto"/>
        <w:ind w:firstLine="420"/>
        <w:jc w:val="both"/>
        <w:rPr>
          <w:color w:val="auto"/>
          <w:sz w:val="21"/>
          <w:szCs w:val="21"/>
        </w:rPr>
      </w:pPr>
      <w:r>
        <w:rPr>
          <w:color w:val="auto"/>
          <w:sz w:val="21"/>
          <w:szCs w:val="21"/>
        </w:rPr>
        <w:t> </w:t>
      </w:r>
    </w:p>
    <w:p w14:paraId="05AA6C03">
      <w:pPr>
        <w:pStyle w:val="32"/>
        <w:spacing w:beforeAutospacing="0" w:afterAutospacing="0" w:line="360" w:lineRule="auto"/>
        <w:jc w:val="both"/>
        <w:rPr>
          <w:color w:val="auto"/>
          <w:sz w:val="21"/>
          <w:szCs w:val="21"/>
        </w:rPr>
      </w:pPr>
      <w:r>
        <w:rPr>
          <w:color w:val="auto"/>
          <w:sz w:val="21"/>
          <w:szCs w:val="21"/>
        </w:rPr>
        <w:t> </w:t>
      </w:r>
    </w:p>
    <w:p w14:paraId="5E0F499A">
      <w:pPr>
        <w:pStyle w:val="32"/>
        <w:spacing w:beforeAutospacing="0" w:afterAutospacing="0" w:line="360" w:lineRule="auto"/>
        <w:jc w:val="both"/>
        <w:rPr>
          <w:color w:val="auto"/>
          <w:sz w:val="21"/>
          <w:szCs w:val="21"/>
        </w:rPr>
      </w:pPr>
      <w:r>
        <w:rPr>
          <w:color w:val="auto"/>
          <w:sz w:val="21"/>
          <w:szCs w:val="21"/>
        </w:rPr>
        <w:t> </w:t>
      </w:r>
    </w:p>
    <w:p w14:paraId="51A63392">
      <w:pPr>
        <w:pStyle w:val="32"/>
        <w:keepNext/>
        <w:keepLines/>
        <w:spacing w:before="260" w:beforeAutospacing="0" w:after="260" w:afterAutospacing="0" w:line="415" w:lineRule="auto"/>
        <w:ind w:firstLine="3390"/>
        <w:jc w:val="both"/>
        <w:rPr>
          <w:rFonts w:ascii="黑体" w:hAnsi="宋体" w:eastAsia="黑体" w:cs="黑体"/>
          <w:b/>
          <w:color w:val="auto"/>
          <w:sz w:val="32"/>
          <w:szCs w:val="32"/>
        </w:rPr>
      </w:pPr>
      <w:r>
        <w:rPr>
          <w:rFonts w:hint="eastAsia" w:ascii="宋体" w:hAnsi="宋体" w:eastAsia="宋体" w:cs="宋体"/>
          <w:b/>
          <w:color w:val="auto"/>
        </w:rPr>
        <w:br w:type="page" w:clear="all"/>
      </w:r>
      <w:r>
        <w:rPr>
          <w:rFonts w:hint="eastAsia" w:ascii="宋体" w:hAnsi="宋体" w:eastAsia="宋体" w:cs="宋体"/>
          <w:b/>
          <w:color w:val="auto"/>
        </w:rPr>
        <w:t> </w:t>
      </w:r>
      <w:r>
        <w:rPr>
          <w:rFonts w:hint="eastAsia" w:ascii="黑体" w:hAnsi="宋体" w:eastAsia="黑体" w:cs="黑体"/>
          <w:b/>
          <w:color w:val="auto"/>
          <w:sz w:val="32"/>
          <w:szCs w:val="32"/>
        </w:rPr>
        <w:t>八、投标函</w:t>
      </w:r>
    </w:p>
    <w:p w14:paraId="0A9915F8">
      <w:pPr>
        <w:pStyle w:val="32"/>
        <w:spacing w:beforeAutospacing="0" w:afterAutospacing="0" w:line="360" w:lineRule="auto"/>
        <w:rPr>
          <w:rFonts w:eastAsia="宋体"/>
          <w:color w:val="auto"/>
          <w:sz w:val="21"/>
          <w:szCs w:val="21"/>
        </w:rPr>
      </w:pPr>
      <w:r>
        <w:rPr>
          <w:rFonts w:hint="eastAsia" w:ascii="宋体" w:hAnsi="宋体" w:eastAsia="宋体" w:cs="宋体"/>
          <w:color w:val="auto"/>
          <w:sz w:val="21"/>
          <w:szCs w:val="21"/>
        </w:rPr>
        <w:t>致：采购人</w:t>
      </w:r>
    </w:p>
    <w:p w14:paraId="081DC560">
      <w:pPr>
        <w:pStyle w:val="32"/>
        <w:spacing w:beforeAutospacing="0" w:afterAutospacing="0" w:line="360" w:lineRule="auto"/>
        <w:ind w:firstLine="480"/>
        <w:rPr>
          <w:color w:val="auto"/>
          <w:sz w:val="21"/>
          <w:szCs w:val="21"/>
        </w:rPr>
      </w:pPr>
      <w:r>
        <w:rPr>
          <w:rFonts w:hint="eastAsia" w:ascii="宋体" w:hAnsi="宋体" w:eastAsia="宋体" w:cs="宋体"/>
          <w:color w:val="auto"/>
          <w:sz w:val="21"/>
          <w:szCs w:val="21"/>
        </w:rPr>
        <w:t>根据贵方的JSZC-320000-***号招标文件，正式授权下述签字人______(姓名)代表我方______________（投标人的名称），全权处理本次项目投标的有关事宜。</w:t>
      </w:r>
    </w:p>
    <w:p w14:paraId="27A783DE">
      <w:pPr>
        <w:pStyle w:val="32"/>
        <w:spacing w:beforeAutospacing="0" w:afterAutospacing="0" w:line="360" w:lineRule="auto"/>
        <w:ind w:firstLine="480"/>
        <w:rPr>
          <w:color w:val="auto"/>
          <w:sz w:val="21"/>
          <w:szCs w:val="21"/>
        </w:rPr>
      </w:pPr>
      <w:r>
        <w:rPr>
          <w:rFonts w:hint="eastAsia" w:ascii="宋体" w:hAnsi="宋体" w:eastAsia="宋体" w:cs="宋体"/>
          <w:color w:val="auto"/>
          <w:sz w:val="21"/>
          <w:szCs w:val="21"/>
        </w:rPr>
        <w:t>据此函，__________签字人兹宣布同意如下：</w:t>
      </w:r>
    </w:p>
    <w:p w14:paraId="7D27CE2B">
      <w:pPr>
        <w:pStyle w:val="32"/>
        <w:spacing w:beforeAutospacing="0" w:afterAutospacing="0" w:line="360" w:lineRule="auto"/>
        <w:ind w:firstLine="480"/>
        <w:rPr>
          <w:color w:val="auto"/>
          <w:sz w:val="21"/>
          <w:szCs w:val="21"/>
        </w:rPr>
      </w:pPr>
      <w:r>
        <w:rPr>
          <w:rFonts w:hint="eastAsia" w:ascii="宋体" w:hAnsi="宋体" w:eastAsia="宋体" w:cs="宋体"/>
          <w:color w:val="auto"/>
          <w:sz w:val="21"/>
          <w:szCs w:val="21"/>
        </w:rPr>
        <w:t>1.按招标文件规定的各项要求，向买方提供所需服务（包含与服务相关的货物）。</w:t>
      </w:r>
    </w:p>
    <w:p w14:paraId="481E98C1">
      <w:pPr>
        <w:pStyle w:val="32"/>
        <w:spacing w:beforeAutospacing="0" w:afterAutospacing="0" w:line="360" w:lineRule="auto"/>
        <w:ind w:firstLine="480"/>
        <w:rPr>
          <w:color w:val="auto"/>
          <w:sz w:val="21"/>
          <w:szCs w:val="21"/>
        </w:rPr>
      </w:pPr>
      <w:r>
        <w:rPr>
          <w:rFonts w:hint="eastAsia" w:ascii="宋体" w:hAnsi="宋体" w:eastAsia="宋体" w:cs="宋体"/>
          <w:color w:val="auto"/>
          <w:sz w:val="21"/>
          <w:szCs w:val="21"/>
        </w:rPr>
        <w:t>2.我们完全理解贵方不一定将合同授予最低报价的投标人。</w:t>
      </w:r>
    </w:p>
    <w:p w14:paraId="6469AD40">
      <w:pPr>
        <w:pStyle w:val="32"/>
        <w:spacing w:beforeAutospacing="0" w:afterAutospacing="0" w:line="360" w:lineRule="auto"/>
        <w:ind w:firstLine="480"/>
        <w:rPr>
          <w:color w:val="auto"/>
          <w:sz w:val="21"/>
          <w:szCs w:val="21"/>
        </w:rPr>
      </w:pPr>
      <w:r>
        <w:rPr>
          <w:rFonts w:hint="eastAsia" w:ascii="宋体" w:hAnsi="宋体" w:eastAsia="宋体" w:cs="宋体"/>
          <w:color w:val="auto"/>
          <w:sz w:val="21"/>
          <w:szCs w:val="21"/>
        </w:rPr>
        <w:t>3.我们已详细审核全部招标文件及其有效补充文件，我们知道必须放弃提出含糊不清或误解问题的权利。</w:t>
      </w:r>
    </w:p>
    <w:p w14:paraId="2293B1AF">
      <w:pPr>
        <w:pStyle w:val="32"/>
        <w:spacing w:beforeAutospacing="0" w:afterAutospacing="0" w:line="360" w:lineRule="auto"/>
        <w:ind w:firstLine="480"/>
        <w:rPr>
          <w:color w:val="auto"/>
          <w:sz w:val="21"/>
          <w:szCs w:val="21"/>
        </w:rPr>
      </w:pPr>
      <w:r>
        <w:rPr>
          <w:rFonts w:hint="eastAsia" w:ascii="宋体" w:hAnsi="宋体" w:eastAsia="宋体" w:cs="宋体"/>
          <w:color w:val="auto"/>
          <w:sz w:val="21"/>
          <w:szCs w:val="21"/>
        </w:rPr>
        <w:t>4.我们同意从规定的开标日期起遵循本投标文件，并在规定的投标有效期期满之前均具有约束力。</w:t>
      </w:r>
    </w:p>
    <w:p w14:paraId="2EC4F2D1">
      <w:pPr>
        <w:pStyle w:val="32"/>
        <w:spacing w:beforeAutospacing="0" w:afterAutospacing="0" w:line="360" w:lineRule="auto"/>
        <w:ind w:firstLine="480"/>
        <w:rPr>
          <w:color w:val="auto"/>
          <w:sz w:val="21"/>
          <w:szCs w:val="21"/>
        </w:rPr>
      </w:pPr>
      <w:r>
        <w:rPr>
          <w:rFonts w:hint="eastAsia" w:ascii="宋体" w:hAnsi="宋体" w:eastAsia="宋体" w:cs="宋体"/>
          <w:color w:val="auto"/>
          <w:sz w:val="21"/>
          <w:szCs w:val="21"/>
        </w:rPr>
        <w:t>5.同意向贵方提供贵方可能另外要求的与投标有关的任何证据或资料，并保证我方已提供和将要提供的文件是真实的、准确的。</w:t>
      </w:r>
    </w:p>
    <w:p w14:paraId="7EF1BB3E">
      <w:pPr>
        <w:pStyle w:val="32"/>
        <w:spacing w:beforeAutospacing="0" w:afterAutospacing="0" w:line="360" w:lineRule="auto"/>
        <w:ind w:firstLine="480"/>
        <w:rPr>
          <w:color w:val="auto"/>
          <w:sz w:val="21"/>
          <w:szCs w:val="21"/>
        </w:rPr>
      </w:pPr>
      <w:r>
        <w:rPr>
          <w:rFonts w:hint="eastAsia" w:ascii="宋体" w:hAnsi="宋体" w:eastAsia="宋体" w:cs="宋体"/>
          <w:color w:val="auto"/>
          <w:sz w:val="21"/>
          <w:szCs w:val="21"/>
        </w:rPr>
        <w:t>6.一旦我方中标,我方将根据招标文件的规定，严格履行合同的责任和义务,并保证在招标文件规定的时间完成项目，交付买方验收、使用。</w:t>
      </w:r>
    </w:p>
    <w:p w14:paraId="567EE7CE">
      <w:pPr>
        <w:pStyle w:val="32"/>
        <w:spacing w:beforeAutospacing="0" w:afterAutospacing="0" w:line="360" w:lineRule="auto"/>
        <w:ind w:firstLine="480"/>
        <w:rPr>
          <w:color w:val="auto"/>
          <w:sz w:val="21"/>
          <w:szCs w:val="21"/>
        </w:rPr>
      </w:pPr>
      <w:r>
        <w:rPr>
          <w:rFonts w:hint="eastAsia" w:ascii="宋体" w:hAnsi="宋体" w:eastAsia="宋体" w:cs="宋体"/>
          <w:color w:val="auto"/>
          <w:sz w:val="21"/>
          <w:szCs w:val="21"/>
        </w:rPr>
        <w:t>7.与本投标有关的正式通讯地址为：</w:t>
      </w:r>
    </w:p>
    <w:p w14:paraId="0E74B6A3">
      <w:pPr>
        <w:pStyle w:val="32"/>
        <w:spacing w:beforeAutospacing="0" w:afterAutospacing="0" w:line="360" w:lineRule="auto"/>
        <w:ind w:left="420" w:firstLine="480"/>
        <w:rPr>
          <w:color w:val="auto"/>
          <w:sz w:val="21"/>
          <w:szCs w:val="21"/>
        </w:rPr>
      </w:pPr>
      <w:r>
        <w:rPr>
          <w:rFonts w:hint="eastAsia" w:ascii="宋体" w:hAnsi="宋体" w:eastAsia="宋体" w:cs="宋体"/>
          <w:color w:val="auto"/>
          <w:sz w:val="21"/>
          <w:szCs w:val="21"/>
        </w:rPr>
        <w:t>地          址：</w:t>
      </w:r>
    </w:p>
    <w:p w14:paraId="7D0038E7">
      <w:pPr>
        <w:pStyle w:val="32"/>
        <w:spacing w:beforeAutospacing="0" w:afterAutospacing="0" w:line="360" w:lineRule="auto"/>
        <w:ind w:left="420" w:firstLine="480"/>
        <w:rPr>
          <w:color w:val="auto"/>
          <w:sz w:val="21"/>
          <w:szCs w:val="21"/>
        </w:rPr>
      </w:pPr>
      <w:r>
        <w:rPr>
          <w:rFonts w:hint="eastAsia" w:ascii="宋体" w:hAnsi="宋体" w:eastAsia="宋体" w:cs="宋体"/>
          <w:color w:val="auto"/>
          <w:sz w:val="21"/>
          <w:szCs w:val="21"/>
        </w:rPr>
        <w:t>邮          编：</w:t>
      </w:r>
    </w:p>
    <w:p w14:paraId="3FF9D12F">
      <w:pPr>
        <w:pStyle w:val="32"/>
        <w:spacing w:beforeAutospacing="0" w:afterAutospacing="0" w:line="360" w:lineRule="auto"/>
        <w:ind w:left="420" w:firstLine="480"/>
        <w:rPr>
          <w:color w:val="auto"/>
          <w:sz w:val="21"/>
          <w:szCs w:val="21"/>
        </w:rPr>
      </w:pPr>
      <w:r>
        <w:rPr>
          <w:rFonts w:hint="eastAsia" w:ascii="宋体" w:hAnsi="宋体" w:eastAsia="宋体" w:cs="宋体"/>
          <w:color w:val="auto"/>
          <w:sz w:val="21"/>
          <w:szCs w:val="21"/>
        </w:rPr>
        <w:t>电          话：</w:t>
      </w:r>
    </w:p>
    <w:p w14:paraId="0E07BCC1">
      <w:pPr>
        <w:pStyle w:val="32"/>
        <w:spacing w:beforeAutospacing="0" w:afterAutospacing="0" w:line="360" w:lineRule="auto"/>
        <w:ind w:left="420" w:firstLine="480"/>
        <w:rPr>
          <w:color w:val="auto"/>
          <w:sz w:val="21"/>
          <w:szCs w:val="21"/>
        </w:rPr>
      </w:pPr>
      <w:r>
        <w:rPr>
          <w:rFonts w:hint="eastAsia" w:ascii="宋体" w:hAnsi="宋体" w:eastAsia="宋体" w:cs="宋体"/>
          <w:color w:val="auto"/>
          <w:sz w:val="21"/>
          <w:szCs w:val="21"/>
        </w:rPr>
        <w:t>传          真：</w:t>
      </w:r>
    </w:p>
    <w:p w14:paraId="68ACA39C">
      <w:pPr>
        <w:pStyle w:val="32"/>
        <w:spacing w:beforeAutospacing="0" w:afterAutospacing="0" w:line="360" w:lineRule="auto"/>
        <w:ind w:left="420" w:firstLine="480"/>
        <w:rPr>
          <w:color w:val="auto"/>
          <w:sz w:val="21"/>
          <w:szCs w:val="21"/>
        </w:rPr>
      </w:pPr>
      <w:r>
        <w:rPr>
          <w:rFonts w:hint="eastAsia" w:ascii="宋体" w:hAnsi="宋体" w:eastAsia="宋体" w:cs="宋体"/>
          <w:color w:val="auto"/>
          <w:sz w:val="21"/>
          <w:szCs w:val="21"/>
        </w:rPr>
        <w:t>投标人开户行：</w:t>
      </w:r>
    </w:p>
    <w:p w14:paraId="0BD445F2">
      <w:pPr>
        <w:pStyle w:val="32"/>
        <w:spacing w:beforeAutospacing="0" w:afterAutospacing="0" w:line="360" w:lineRule="auto"/>
        <w:ind w:left="420" w:firstLine="480"/>
        <w:rPr>
          <w:color w:val="auto"/>
          <w:sz w:val="21"/>
          <w:szCs w:val="21"/>
        </w:rPr>
      </w:pPr>
      <w:r>
        <w:rPr>
          <w:rFonts w:hint="eastAsia" w:ascii="宋体" w:hAnsi="宋体" w:eastAsia="宋体" w:cs="宋体"/>
          <w:color w:val="auto"/>
          <w:sz w:val="21"/>
          <w:szCs w:val="21"/>
        </w:rPr>
        <w:t xml:space="preserve">账          号： </w:t>
      </w:r>
    </w:p>
    <w:p w14:paraId="2D9F8BDD">
      <w:pPr>
        <w:pStyle w:val="32"/>
        <w:spacing w:beforeAutospacing="0" w:afterAutospacing="0" w:line="360" w:lineRule="auto"/>
        <w:ind w:left="420" w:firstLine="480"/>
        <w:rPr>
          <w:color w:val="auto"/>
          <w:sz w:val="21"/>
          <w:szCs w:val="21"/>
        </w:rPr>
      </w:pPr>
      <w:r>
        <w:rPr>
          <w:rFonts w:hint="eastAsia" w:ascii="宋体" w:hAnsi="宋体" w:eastAsia="宋体" w:cs="宋体"/>
          <w:color w:val="auto"/>
          <w:sz w:val="21"/>
          <w:szCs w:val="21"/>
        </w:rPr>
        <w:t>日           期：________年____月____日</w:t>
      </w:r>
    </w:p>
    <w:p w14:paraId="103439C7">
      <w:pPr>
        <w:pStyle w:val="32"/>
        <w:spacing w:beforeAutospacing="0" w:afterAutospacing="0" w:line="360" w:lineRule="auto"/>
        <w:ind w:firstLine="240"/>
        <w:jc w:val="center"/>
        <w:rPr>
          <w:color w:val="auto"/>
          <w:sz w:val="21"/>
          <w:szCs w:val="21"/>
        </w:rPr>
      </w:pPr>
      <w:r>
        <w:rPr>
          <w:color w:val="auto"/>
          <w:sz w:val="21"/>
          <w:szCs w:val="21"/>
        </w:rPr>
        <w:t> </w:t>
      </w:r>
    </w:p>
    <w:p w14:paraId="3D5F504A">
      <w:pPr>
        <w:pStyle w:val="32"/>
        <w:spacing w:beforeAutospacing="0" w:afterAutospacing="0" w:line="360" w:lineRule="auto"/>
        <w:ind w:firstLine="240"/>
        <w:jc w:val="center"/>
        <w:rPr>
          <w:color w:val="auto"/>
          <w:sz w:val="21"/>
          <w:szCs w:val="21"/>
        </w:rPr>
      </w:pPr>
      <w:r>
        <w:rPr>
          <w:color w:val="auto"/>
          <w:sz w:val="21"/>
          <w:szCs w:val="21"/>
        </w:rPr>
        <w:t> </w:t>
      </w:r>
    </w:p>
    <w:p w14:paraId="642B9456">
      <w:pPr>
        <w:pStyle w:val="32"/>
        <w:spacing w:beforeAutospacing="0" w:afterAutospacing="0" w:line="0" w:lineRule="atLeast"/>
        <w:ind w:firstLine="240"/>
        <w:jc w:val="center"/>
        <w:rPr>
          <w:color w:val="auto"/>
        </w:rPr>
      </w:pPr>
      <w:r>
        <w:rPr>
          <w:color w:val="auto"/>
        </w:rPr>
        <w:t> </w:t>
      </w:r>
    </w:p>
    <w:p w14:paraId="47809053">
      <w:pPr>
        <w:pStyle w:val="32"/>
        <w:spacing w:beforeAutospacing="0" w:afterAutospacing="0" w:line="0" w:lineRule="atLeast"/>
        <w:ind w:firstLine="240"/>
        <w:jc w:val="center"/>
        <w:rPr>
          <w:color w:val="auto"/>
        </w:rPr>
      </w:pPr>
      <w:r>
        <w:rPr>
          <w:color w:val="auto"/>
        </w:rPr>
        <w:t> </w:t>
      </w:r>
    </w:p>
    <w:p w14:paraId="095A4930">
      <w:pPr>
        <w:pStyle w:val="32"/>
        <w:spacing w:beforeAutospacing="0" w:afterAutospacing="0" w:line="0" w:lineRule="atLeast"/>
        <w:ind w:firstLine="240"/>
        <w:jc w:val="center"/>
        <w:rPr>
          <w:color w:val="auto"/>
        </w:rPr>
      </w:pPr>
      <w:r>
        <w:rPr>
          <w:color w:val="auto"/>
        </w:rPr>
        <w:t> </w:t>
      </w:r>
    </w:p>
    <w:p w14:paraId="0E539C58">
      <w:pPr>
        <w:pStyle w:val="32"/>
        <w:spacing w:beforeAutospacing="0" w:afterAutospacing="0" w:line="0" w:lineRule="atLeast"/>
        <w:ind w:firstLine="240"/>
        <w:jc w:val="center"/>
        <w:rPr>
          <w:color w:val="auto"/>
        </w:rPr>
      </w:pPr>
    </w:p>
    <w:p w14:paraId="461074EC">
      <w:pPr>
        <w:pStyle w:val="32"/>
        <w:spacing w:beforeAutospacing="0" w:afterAutospacing="0" w:line="0" w:lineRule="atLeast"/>
        <w:jc w:val="both"/>
        <w:rPr>
          <w:color w:val="auto"/>
        </w:rPr>
      </w:pPr>
    </w:p>
    <w:p w14:paraId="42F9D9BF">
      <w:pPr>
        <w:pStyle w:val="32"/>
        <w:spacing w:beforeAutospacing="0" w:afterAutospacing="0" w:line="0" w:lineRule="atLeast"/>
        <w:jc w:val="both"/>
        <w:rPr>
          <w:color w:val="auto"/>
        </w:rPr>
      </w:pPr>
    </w:p>
    <w:p w14:paraId="567F23D0">
      <w:pPr>
        <w:pStyle w:val="32"/>
        <w:spacing w:beforeAutospacing="0" w:afterAutospacing="0" w:line="0" w:lineRule="atLeast"/>
        <w:jc w:val="both"/>
        <w:rPr>
          <w:color w:val="auto"/>
        </w:rPr>
      </w:pPr>
    </w:p>
    <w:p w14:paraId="44CE105B">
      <w:pPr>
        <w:pStyle w:val="32"/>
        <w:spacing w:beforeAutospacing="0" w:afterAutospacing="0" w:line="0" w:lineRule="atLeast"/>
        <w:jc w:val="both"/>
        <w:rPr>
          <w:color w:val="auto"/>
        </w:rPr>
      </w:pPr>
    </w:p>
    <w:p w14:paraId="04E33365">
      <w:pPr>
        <w:pStyle w:val="32"/>
        <w:spacing w:beforeAutospacing="0" w:afterAutospacing="0" w:line="0" w:lineRule="atLeast"/>
        <w:jc w:val="both"/>
        <w:rPr>
          <w:color w:val="auto"/>
        </w:rPr>
      </w:pPr>
    </w:p>
    <w:p w14:paraId="7CDB5C81">
      <w:pPr>
        <w:pStyle w:val="32"/>
        <w:spacing w:beforeAutospacing="0" w:afterAutospacing="0" w:line="0" w:lineRule="atLeast"/>
        <w:jc w:val="center"/>
        <w:rPr>
          <w:color w:val="auto"/>
        </w:rPr>
      </w:pPr>
      <w:r>
        <w:rPr>
          <w:color w:val="auto"/>
        </w:rPr>
        <w:t> </w:t>
      </w:r>
    </w:p>
    <w:p w14:paraId="2EA5D045">
      <w:pPr>
        <w:pStyle w:val="32"/>
        <w:spacing w:beforeAutospacing="0" w:afterAutospacing="0" w:line="0" w:lineRule="atLeast"/>
        <w:jc w:val="center"/>
        <w:rPr>
          <w:color w:val="auto"/>
        </w:rPr>
      </w:pPr>
      <w:r>
        <w:rPr>
          <w:rFonts w:hint="eastAsia" w:ascii="黑体" w:hAnsi="宋体" w:eastAsia="黑体" w:cs="黑体"/>
          <w:b/>
          <w:color w:val="auto"/>
          <w:sz w:val="32"/>
          <w:szCs w:val="32"/>
        </w:rPr>
        <w:t>九、中小企业声明函（服务）（分包号：**）</w:t>
      </w:r>
    </w:p>
    <w:p w14:paraId="2DBC0E77">
      <w:pPr>
        <w:spacing w:line="360" w:lineRule="auto"/>
        <w:ind w:firstLine="480"/>
        <w:rPr>
          <w:color w:val="auto"/>
          <w:szCs w:val="21"/>
        </w:rPr>
      </w:pPr>
      <w:r>
        <w:rPr>
          <w:rFonts w:hint="eastAsia"/>
          <w:color w:val="auto"/>
          <w:szCs w:val="21"/>
        </w:rPr>
        <w:t>本公司（联合体）郑重声明，根据《政府采购促进中小企业发展管理办法》（财库﹝2020﹞46 号）的规定，本公司（联合体）参加</w:t>
      </w:r>
      <w:r>
        <w:rPr>
          <w:rFonts w:hint="eastAsia"/>
          <w:i/>
          <w:iCs/>
          <w:color w:val="auto"/>
          <w:szCs w:val="21"/>
          <w:u w:val="single"/>
        </w:rPr>
        <w:t>（单位名称）</w:t>
      </w:r>
      <w:r>
        <w:rPr>
          <w:rFonts w:hint="eastAsia"/>
          <w:color w:val="auto"/>
          <w:szCs w:val="21"/>
        </w:rPr>
        <w:t>采购编号为的</w:t>
      </w:r>
      <w:r>
        <w:rPr>
          <w:rFonts w:hint="eastAsia"/>
          <w:i/>
          <w:iCs/>
          <w:color w:val="auto"/>
          <w:szCs w:val="21"/>
          <w:u w:val="single"/>
        </w:rPr>
        <w:t>（项目名称）</w:t>
      </w:r>
      <w:r>
        <w:rPr>
          <w:rFonts w:hint="eastAsia"/>
          <w:color w:val="auto"/>
          <w:szCs w:val="21"/>
        </w:rPr>
        <w:t>的采购活动，服务全部由符合政策要求的中小企业承接。相关企业（含联合体中的中小企业、签订分包意向协议的中小企业）的具体情况如下：</w:t>
      </w:r>
    </w:p>
    <w:p w14:paraId="7B4B974D">
      <w:pPr>
        <w:numPr>
          <w:ilvl w:val="0"/>
          <w:numId w:val="12"/>
        </w:numPr>
        <w:spacing w:line="360" w:lineRule="auto"/>
        <w:ind w:firstLine="480"/>
        <w:rPr>
          <w:color w:val="auto"/>
          <w:szCs w:val="21"/>
        </w:rPr>
      </w:pPr>
      <w:r>
        <w:rPr>
          <w:rFonts w:hint="eastAsia"/>
          <w:i/>
          <w:iCs/>
          <w:color w:val="auto"/>
          <w:szCs w:val="21"/>
          <w:u w:val="single"/>
        </w:rPr>
        <w:t>（标的名称）</w:t>
      </w:r>
      <w:r>
        <w:rPr>
          <w:rFonts w:hint="eastAsia"/>
          <w:color w:val="auto"/>
          <w:szCs w:val="21"/>
        </w:rPr>
        <w:t xml:space="preserve"> ，属于</w:t>
      </w:r>
      <w:r>
        <w:rPr>
          <w:rFonts w:hint="eastAsia"/>
          <w:i/>
          <w:iCs/>
          <w:color w:val="auto"/>
          <w:szCs w:val="21"/>
          <w:u w:val="single"/>
        </w:rPr>
        <w:t>（采购文件中明确的所属行业）</w:t>
      </w:r>
      <w:r>
        <w:rPr>
          <w:rFonts w:hint="eastAsia"/>
          <w:color w:val="auto"/>
          <w:szCs w:val="21"/>
        </w:rPr>
        <w:t>；承建（承接）企业为</w:t>
      </w:r>
      <w:r>
        <w:rPr>
          <w:rFonts w:hint="eastAsia"/>
          <w:i/>
          <w:iCs/>
          <w:color w:val="auto"/>
          <w:szCs w:val="21"/>
          <w:u w:val="single"/>
        </w:rPr>
        <w:t>（企业名称）</w:t>
      </w:r>
      <w:r>
        <w:rPr>
          <w:rFonts w:hint="eastAsia"/>
          <w:color w:val="auto"/>
          <w:szCs w:val="21"/>
        </w:rPr>
        <w:t>，从业人员人，营业收入为万元，资产总额为万元，属于（</w:t>
      </w:r>
      <w:r>
        <w:rPr>
          <w:rFonts w:hint="eastAsia"/>
          <w:i/>
          <w:iCs/>
          <w:color w:val="auto"/>
          <w:szCs w:val="21"/>
          <w:u w:val="single"/>
        </w:rPr>
        <w:t>中型企业、小型企业、微型企业</w:t>
      </w:r>
      <w:r>
        <w:rPr>
          <w:rFonts w:hint="eastAsia"/>
          <w:color w:val="auto"/>
          <w:szCs w:val="21"/>
        </w:rPr>
        <w:t>）；</w:t>
      </w:r>
    </w:p>
    <w:p w14:paraId="1D023370">
      <w:pPr>
        <w:numPr>
          <w:ilvl w:val="0"/>
          <w:numId w:val="12"/>
        </w:numPr>
        <w:spacing w:line="360" w:lineRule="auto"/>
        <w:ind w:firstLine="480"/>
        <w:rPr>
          <w:color w:val="auto"/>
          <w:szCs w:val="21"/>
        </w:rPr>
      </w:pPr>
      <w:r>
        <w:rPr>
          <w:rFonts w:hint="eastAsia"/>
          <w:i/>
          <w:iCs/>
          <w:color w:val="auto"/>
          <w:szCs w:val="21"/>
          <w:u w:val="single"/>
        </w:rPr>
        <w:t>（标的名称）</w:t>
      </w:r>
      <w:r>
        <w:rPr>
          <w:rFonts w:hint="eastAsia"/>
          <w:color w:val="auto"/>
          <w:szCs w:val="21"/>
        </w:rPr>
        <w:t xml:space="preserve"> ，属于</w:t>
      </w:r>
      <w:r>
        <w:rPr>
          <w:rFonts w:hint="eastAsia"/>
          <w:i/>
          <w:iCs/>
          <w:color w:val="auto"/>
          <w:szCs w:val="21"/>
          <w:u w:val="single"/>
        </w:rPr>
        <w:t>（采购文件中明确的所属行业）</w:t>
      </w:r>
      <w:r>
        <w:rPr>
          <w:rFonts w:hint="eastAsia"/>
          <w:color w:val="auto"/>
          <w:szCs w:val="21"/>
        </w:rPr>
        <w:t>；承建（承接）企业为</w:t>
      </w:r>
      <w:r>
        <w:rPr>
          <w:rFonts w:hint="eastAsia"/>
          <w:i/>
          <w:iCs/>
          <w:color w:val="auto"/>
          <w:szCs w:val="21"/>
          <w:u w:val="single"/>
        </w:rPr>
        <w:t>（企业名称）</w:t>
      </w:r>
      <w:r>
        <w:rPr>
          <w:rFonts w:hint="eastAsia"/>
          <w:color w:val="auto"/>
          <w:szCs w:val="21"/>
        </w:rPr>
        <w:t>，从业人员人，营业收入为万元，资产总额为万元，属于</w:t>
      </w:r>
      <w:r>
        <w:rPr>
          <w:rFonts w:hint="eastAsia"/>
          <w:i/>
          <w:iCs/>
          <w:color w:val="auto"/>
          <w:szCs w:val="21"/>
          <w:u w:val="single"/>
        </w:rPr>
        <w:t>（中型企业、小型企业、微型企业）</w:t>
      </w:r>
      <w:r>
        <w:rPr>
          <w:rFonts w:hint="eastAsia"/>
          <w:color w:val="auto"/>
          <w:szCs w:val="21"/>
        </w:rPr>
        <w:t>；</w:t>
      </w:r>
    </w:p>
    <w:p w14:paraId="28FEB83E">
      <w:pPr>
        <w:spacing w:line="360" w:lineRule="auto"/>
        <w:ind w:firstLine="420"/>
        <w:rPr>
          <w:color w:val="auto"/>
          <w:szCs w:val="21"/>
        </w:rPr>
      </w:pPr>
      <w:r>
        <w:rPr>
          <w:rFonts w:hint="eastAsia"/>
          <w:color w:val="auto"/>
          <w:szCs w:val="21"/>
        </w:rPr>
        <w:t>……</w:t>
      </w:r>
    </w:p>
    <w:p w14:paraId="11F9A79E">
      <w:pPr>
        <w:spacing w:line="360" w:lineRule="auto"/>
        <w:ind w:firstLine="420"/>
        <w:rPr>
          <w:color w:val="auto"/>
          <w:szCs w:val="21"/>
        </w:rPr>
      </w:pPr>
      <w:r>
        <w:rPr>
          <w:rFonts w:hint="eastAsia"/>
          <w:color w:val="auto"/>
          <w:szCs w:val="21"/>
        </w:rPr>
        <w:t>以上企业，不属于大企业的分支机构，不存在控股股东为大企业的情形，也不存在与大企业的负责人为同一人的情形。</w:t>
      </w:r>
    </w:p>
    <w:p w14:paraId="0F8634DB">
      <w:pPr>
        <w:spacing w:line="360" w:lineRule="auto"/>
        <w:ind w:firstLine="420"/>
        <w:rPr>
          <w:color w:val="auto"/>
          <w:szCs w:val="21"/>
        </w:rPr>
      </w:pPr>
      <w:r>
        <w:rPr>
          <w:rFonts w:hint="eastAsia"/>
          <w:color w:val="auto"/>
          <w:szCs w:val="21"/>
        </w:rPr>
        <w:t>本企业对上述声明内容的真实性负责。如有虚假，将依法承担相应责任。</w:t>
      </w:r>
    </w:p>
    <w:p w14:paraId="1D1FBBC3">
      <w:pPr>
        <w:pStyle w:val="32"/>
        <w:spacing w:beforeAutospacing="0" w:afterAutospacing="0" w:line="360" w:lineRule="auto"/>
        <w:ind w:right="720"/>
        <w:jc w:val="both"/>
        <w:rPr>
          <w:color w:val="auto"/>
          <w:sz w:val="21"/>
          <w:szCs w:val="21"/>
        </w:rPr>
      </w:pPr>
      <w:r>
        <w:rPr>
          <w:color w:val="auto"/>
          <w:sz w:val="21"/>
          <w:szCs w:val="21"/>
        </w:rPr>
        <w:t> </w:t>
      </w:r>
    </w:p>
    <w:p w14:paraId="70383447">
      <w:pPr>
        <w:pStyle w:val="32"/>
        <w:spacing w:beforeAutospacing="0" w:afterAutospacing="0" w:line="360" w:lineRule="auto"/>
        <w:ind w:right="180" w:firstLine="360"/>
        <w:jc w:val="right"/>
        <w:rPr>
          <w:color w:val="auto"/>
          <w:sz w:val="21"/>
          <w:szCs w:val="21"/>
        </w:rPr>
      </w:pPr>
      <w:r>
        <w:rPr>
          <w:rFonts w:hint="eastAsia" w:ascii="宋体" w:hAnsi="宋体" w:eastAsia="宋体" w:cs="宋体"/>
          <w:color w:val="auto"/>
          <w:sz w:val="21"/>
          <w:szCs w:val="21"/>
        </w:rPr>
        <w:t>企业名称（加盖CA电子公章）：</w:t>
      </w:r>
    </w:p>
    <w:p w14:paraId="33B9E77D">
      <w:pPr>
        <w:pStyle w:val="32"/>
        <w:spacing w:beforeAutospacing="0" w:afterAutospacing="0" w:line="360" w:lineRule="auto"/>
        <w:ind w:right="480" w:firstLine="5400"/>
        <w:jc w:val="both"/>
        <w:rPr>
          <w:color w:val="auto"/>
          <w:sz w:val="21"/>
          <w:szCs w:val="21"/>
        </w:rPr>
      </w:pPr>
      <w:r>
        <w:rPr>
          <w:rFonts w:hint="eastAsia" w:ascii="宋体" w:hAnsi="宋体" w:eastAsia="宋体" w:cs="宋体"/>
          <w:color w:val="auto"/>
          <w:sz w:val="21"/>
          <w:szCs w:val="21"/>
        </w:rPr>
        <w:t>日  期：</w:t>
      </w:r>
    </w:p>
    <w:p w14:paraId="1722FC87">
      <w:pPr>
        <w:pStyle w:val="32"/>
        <w:spacing w:beforeAutospacing="0" w:afterAutospacing="0" w:line="360" w:lineRule="auto"/>
        <w:ind w:firstLine="240"/>
        <w:jc w:val="both"/>
        <w:rPr>
          <w:color w:val="auto"/>
          <w:sz w:val="21"/>
          <w:szCs w:val="21"/>
        </w:rPr>
      </w:pPr>
      <w:r>
        <w:rPr>
          <w:color w:val="auto"/>
          <w:sz w:val="21"/>
          <w:szCs w:val="21"/>
        </w:rPr>
        <w:t> </w:t>
      </w:r>
    </w:p>
    <w:p w14:paraId="08D4BA67">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备注1：从业人员、营业收入、资产总额填报上一年度数据，无上一年度数据的新成立企业可不填报。</w:t>
      </w:r>
    </w:p>
    <w:p w14:paraId="66854EAD">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备注2：供应商如不提供此声明函，价格将不做相应扣除（如项目全面面向中小企业，则资格审查不通过）。</w:t>
      </w:r>
    </w:p>
    <w:p w14:paraId="02264EFE">
      <w:pPr>
        <w:pStyle w:val="32"/>
        <w:spacing w:beforeAutospacing="0" w:afterAutospacing="0" w:line="360" w:lineRule="auto"/>
        <w:jc w:val="center"/>
        <w:rPr>
          <w:color w:val="auto"/>
        </w:rPr>
      </w:pPr>
      <w:r>
        <w:rPr>
          <w:rFonts w:hint="eastAsia" w:ascii="黑体" w:hAnsi="宋体" w:eastAsia="黑体" w:cs="黑体"/>
          <w:b/>
          <w:color w:val="auto"/>
          <w:sz w:val="21"/>
          <w:szCs w:val="21"/>
        </w:rPr>
        <w:br w:type="page" w:clear="all"/>
      </w:r>
      <w:r>
        <w:rPr>
          <w:rFonts w:hint="eastAsia" w:ascii="黑体" w:hAnsi="宋体" w:eastAsia="黑体" w:cs="黑体"/>
          <w:b/>
          <w:color w:val="auto"/>
          <w:sz w:val="32"/>
          <w:szCs w:val="32"/>
        </w:rPr>
        <w:t> 十、残疾人福利性单位声明函（分包号：**）</w:t>
      </w:r>
    </w:p>
    <w:p w14:paraId="63589D54">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项目（分包号：**）采购活动由本单位提供服务。</w:t>
      </w:r>
    </w:p>
    <w:p w14:paraId="0469E69A">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本单位对上述声明的真实性负责。如有虚假，将依法承担相应责任。</w:t>
      </w:r>
    </w:p>
    <w:p w14:paraId="491EF89F">
      <w:pPr>
        <w:pStyle w:val="32"/>
        <w:spacing w:beforeAutospacing="0" w:afterAutospacing="0" w:line="360" w:lineRule="auto"/>
        <w:ind w:firstLine="480"/>
        <w:jc w:val="both"/>
        <w:rPr>
          <w:color w:val="auto"/>
          <w:sz w:val="21"/>
          <w:szCs w:val="21"/>
        </w:rPr>
      </w:pPr>
      <w:r>
        <w:rPr>
          <w:color w:val="auto"/>
          <w:sz w:val="21"/>
          <w:szCs w:val="21"/>
        </w:rPr>
        <w:t> </w:t>
      </w:r>
    </w:p>
    <w:p w14:paraId="5AC07134">
      <w:pPr>
        <w:pStyle w:val="32"/>
        <w:spacing w:beforeAutospacing="0" w:afterAutospacing="0" w:line="360" w:lineRule="auto"/>
        <w:ind w:firstLine="480"/>
        <w:jc w:val="both"/>
        <w:rPr>
          <w:rFonts w:eastAsia="宋体"/>
          <w:color w:val="auto"/>
          <w:sz w:val="21"/>
          <w:szCs w:val="21"/>
        </w:rPr>
      </w:pPr>
      <w:r>
        <w:rPr>
          <w:rFonts w:hint="eastAsia" w:ascii="宋体" w:hAnsi="宋体" w:eastAsia="宋体" w:cs="宋体"/>
          <w:color w:val="auto"/>
          <w:sz w:val="21"/>
          <w:szCs w:val="21"/>
        </w:rPr>
        <w:t>备注：1、供应商如不提供此声明函，价格将不做相应扣除（如项目全面面向中小企业，则资格审查不通过）。</w:t>
      </w:r>
    </w:p>
    <w:p w14:paraId="1B2C4D62">
      <w:pPr>
        <w:pStyle w:val="32"/>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2、中标人为残疾人福利单位的，此声明函将随中标结果同时公告，接受社会监督</w:t>
      </w:r>
    </w:p>
    <w:p w14:paraId="71981C26">
      <w:pPr>
        <w:pStyle w:val="32"/>
        <w:spacing w:beforeAutospacing="0" w:afterAutospacing="0" w:line="360" w:lineRule="auto"/>
        <w:ind w:firstLine="624"/>
        <w:jc w:val="both"/>
        <w:rPr>
          <w:color w:val="auto"/>
          <w:sz w:val="21"/>
          <w:szCs w:val="21"/>
        </w:rPr>
      </w:pPr>
      <w:r>
        <w:rPr>
          <w:color w:val="auto"/>
          <w:sz w:val="21"/>
          <w:szCs w:val="21"/>
        </w:rPr>
        <w:t> </w:t>
      </w:r>
    </w:p>
    <w:p w14:paraId="7266DAE5">
      <w:pPr>
        <w:pStyle w:val="32"/>
        <w:tabs>
          <w:tab w:val="left" w:pos="4864"/>
        </w:tabs>
        <w:spacing w:beforeAutospacing="0" w:afterAutospacing="0" w:line="360" w:lineRule="auto"/>
        <w:ind w:right="1560" w:firstLine="624"/>
        <w:jc w:val="center"/>
        <w:rPr>
          <w:color w:val="auto"/>
          <w:sz w:val="21"/>
          <w:szCs w:val="21"/>
        </w:rPr>
      </w:pPr>
      <w:r>
        <w:rPr>
          <w:rFonts w:ascii="仿宋_GB2312" w:eastAsia="仿宋_GB2312" w:cs="仿宋_GB2312"/>
          <w:color w:val="auto"/>
          <w:sz w:val="21"/>
          <w:szCs w:val="21"/>
        </w:rPr>
        <w:t xml:space="preserve">             </w:t>
      </w:r>
      <w:r>
        <w:rPr>
          <w:rFonts w:hint="eastAsia" w:ascii="宋体" w:hAnsi="宋体" w:eastAsia="宋体" w:cs="宋体"/>
          <w:color w:val="auto"/>
          <w:sz w:val="21"/>
          <w:szCs w:val="21"/>
        </w:rPr>
        <w:t>          供应商全称（加盖CA电子公章）：</w:t>
      </w:r>
    </w:p>
    <w:p w14:paraId="619E5506">
      <w:pPr>
        <w:pStyle w:val="32"/>
        <w:tabs>
          <w:tab w:val="left" w:pos="4864"/>
        </w:tabs>
        <w:spacing w:beforeAutospacing="0" w:afterAutospacing="0" w:line="360" w:lineRule="auto"/>
        <w:ind w:right="1560" w:firstLine="480"/>
        <w:jc w:val="center"/>
        <w:rPr>
          <w:color w:val="auto"/>
          <w:sz w:val="21"/>
          <w:szCs w:val="21"/>
        </w:rPr>
      </w:pPr>
      <w:r>
        <w:rPr>
          <w:rFonts w:hint="eastAsia" w:ascii="宋体" w:hAnsi="宋体" w:eastAsia="宋体" w:cs="宋体"/>
          <w:color w:val="auto"/>
          <w:sz w:val="21"/>
          <w:szCs w:val="21"/>
        </w:rPr>
        <w:t>        日  期：</w:t>
      </w:r>
    </w:p>
    <w:p w14:paraId="1D6E6E0E">
      <w:pPr>
        <w:pStyle w:val="32"/>
        <w:spacing w:beforeAutospacing="0" w:afterAutospacing="0" w:line="360" w:lineRule="auto"/>
        <w:jc w:val="center"/>
        <w:rPr>
          <w:color w:val="auto"/>
          <w:sz w:val="21"/>
          <w:szCs w:val="21"/>
        </w:rPr>
      </w:pPr>
      <w:r>
        <w:rPr>
          <w:color w:val="auto"/>
          <w:sz w:val="21"/>
          <w:szCs w:val="21"/>
        </w:rPr>
        <w:t> </w:t>
      </w:r>
    </w:p>
    <w:p w14:paraId="2288CE37">
      <w:pPr>
        <w:pStyle w:val="32"/>
        <w:spacing w:beforeAutospacing="0" w:afterAutospacing="0" w:line="0" w:lineRule="atLeast"/>
        <w:jc w:val="center"/>
        <w:rPr>
          <w:color w:val="auto"/>
        </w:rPr>
      </w:pPr>
      <w:r>
        <w:rPr>
          <w:color w:val="auto"/>
        </w:rPr>
        <w:t> </w:t>
      </w:r>
    </w:p>
    <w:p w14:paraId="5449F2E9">
      <w:pPr>
        <w:pStyle w:val="32"/>
        <w:spacing w:beforeAutospacing="0" w:afterAutospacing="0" w:line="0" w:lineRule="atLeast"/>
        <w:jc w:val="center"/>
        <w:rPr>
          <w:color w:val="auto"/>
        </w:rPr>
      </w:pPr>
      <w:r>
        <w:rPr>
          <w:color w:val="auto"/>
        </w:rPr>
        <w:t> </w:t>
      </w:r>
    </w:p>
    <w:p w14:paraId="18DC1F39">
      <w:pPr>
        <w:pStyle w:val="32"/>
        <w:spacing w:beforeAutospacing="0" w:afterAutospacing="0" w:line="0" w:lineRule="atLeast"/>
        <w:jc w:val="center"/>
        <w:rPr>
          <w:color w:val="auto"/>
        </w:rPr>
      </w:pPr>
      <w:r>
        <w:rPr>
          <w:color w:val="auto"/>
        </w:rPr>
        <w:t> </w:t>
      </w:r>
    </w:p>
    <w:p w14:paraId="36864901">
      <w:pPr>
        <w:pStyle w:val="32"/>
        <w:spacing w:beforeAutospacing="0" w:afterAutospacing="0" w:line="0" w:lineRule="atLeast"/>
        <w:jc w:val="center"/>
        <w:rPr>
          <w:color w:val="auto"/>
        </w:rPr>
      </w:pPr>
      <w:r>
        <w:rPr>
          <w:color w:val="auto"/>
        </w:rPr>
        <w:t> </w:t>
      </w:r>
    </w:p>
    <w:p w14:paraId="0EA93710">
      <w:pPr>
        <w:pStyle w:val="32"/>
        <w:spacing w:beforeAutospacing="0" w:afterAutospacing="0" w:line="0" w:lineRule="atLeast"/>
        <w:jc w:val="center"/>
        <w:rPr>
          <w:color w:val="auto"/>
        </w:rPr>
      </w:pPr>
      <w:r>
        <w:rPr>
          <w:color w:val="auto"/>
        </w:rPr>
        <w:t> </w:t>
      </w:r>
    </w:p>
    <w:p w14:paraId="7858F433">
      <w:pPr>
        <w:pStyle w:val="32"/>
        <w:spacing w:beforeAutospacing="0" w:afterAutospacing="0" w:line="0" w:lineRule="atLeast"/>
        <w:jc w:val="center"/>
        <w:rPr>
          <w:color w:val="auto"/>
        </w:rPr>
      </w:pPr>
      <w:r>
        <w:rPr>
          <w:color w:val="auto"/>
        </w:rPr>
        <w:t> </w:t>
      </w:r>
    </w:p>
    <w:p w14:paraId="43F2A3A3">
      <w:pPr>
        <w:pStyle w:val="32"/>
        <w:spacing w:beforeAutospacing="0" w:afterAutospacing="0" w:line="0" w:lineRule="atLeast"/>
        <w:jc w:val="center"/>
        <w:rPr>
          <w:color w:val="auto"/>
        </w:rPr>
      </w:pPr>
      <w:r>
        <w:rPr>
          <w:color w:val="auto"/>
        </w:rPr>
        <w:t> </w:t>
      </w:r>
    </w:p>
    <w:p w14:paraId="49D70180">
      <w:pPr>
        <w:pStyle w:val="32"/>
        <w:spacing w:beforeAutospacing="0" w:afterAutospacing="0" w:line="0" w:lineRule="atLeast"/>
        <w:jc w:val="center"/>
        <w:rPr>
          <w:color w:val="auto"/>
        </w:rPr>
      </w:pPr>
    </w:p>
    <w:p w14:paraId="32117EDB">
      <w:pPr>
        <w:pStyle w:val="32"/>
        <w:spacing w:beforeAutospacing="0" w:afterAutospacing="0" w:line="0" w:lineRule="atLeast"/>
        <w:jc w:val="center"/>
        <w:rPr>
          <w:color w:val="auto"/>
        </w:rPr>
      </w:pPr>
    </w:p>
    <w:p w14:paraId="70FC0AD8">
      <w:pPr>
        <w:pStyle w:val="32"/>
        <w:spacing w:beforeAutospacing="0" w:afterAutospacing="0" w:line="0" w:lineRule="atLeast"/>
        <w:jc w:val="center"/>
        <w:rPr>
          <w:color w:val="auto"/>
        </w:rPr>
      </w:pPr>
    </w:p>
    <w:p w14:paraId="6CD5ECFA">
      <w:pPr>
        <w:pStyle w:val="32"/>
        <w:spacing w:beforeAutospacing="0" w:afterAutospacing="0" w:line="0" w:lineRule="atLeast"/>
        <w:jc w:val="center"/>
        <w:rPr>
          <w:color w:val="auto"/>
        </w:rPr>
      </w:pPr>
    </w:p>
    <w:p w14:paraId="1ABF1EEE">
      <w:pPr>
        <w:pStyle w:val="32"/>
        <w:spacing w:beforeAutospacing="0" w:afterAutospacing="0" w:line="0" w:lineRule="atLeast"/>
        <w:jc w:val="center"/>
        <w:rPr>
          <w:color w:val="auto"/>
        </w:rPr>
      </w:pPr>
    </w:p>
    <w:p w14:paraId="75517CFF">
      <w:pPr>
        <w:pStyle w:val="32"/>
        <w:spacing w:beforeAutospacing="0" w:afterAutospacing="0" w:line="0" w:lineRule="atLeast"/>
        <w:jc w:val="center"/>
        <w:rPr>
          <w:color w:val="auto"/>
        </w:rPr>
      </w:pPr>
    </w:p>
    <w:p w14:paraId="2B84CDA9">
      <w:pPr>
        <w:pStyle w:val="32"/>
        <w:spacing w:beforeAutospacing="0" w:afterAutospacing="0" w:line="0" w:lineRule="atLeast"/>
        <w:jc w:val="center"/>
        <w:rPr>
          <w:color w:val="auto"/>
        </w:rPr>
      </w:pPr>
    </w:p>
    <w:p w14:paraId="179CE9CE">
      <w:pPr>
        <w:pStyle w:val="32"/>
        <w:spacing w:beforeAutospacing="0" w:afterAutospacing="0" w:line="0" w:lineRule="atLeast"/>
        <w:jc w:val="center"/>
        <w:rPr>
          <w:color w:val="auto"/>
        </w:rPr>
      </w:pPr>
    </w:p>
    <w:p w14:paraId="19A45695">
      <w:pPr>
        <w:pStyle w:val="32"/>
        <w:spacing w:beforeAutospacing="0" w:afterAutospacing="0" w:line="0" w:lineRule="atLeast"/>
        <w:jc w:val="center"/>
        <w:rPr>
          <w:color w:val="auto"/>
        </w:rPr>
      </w:pPr>
    </w:p>
    <w:p w14:paraId="6D7850B9">
      <w:pPr>
        <w:pStyle w:val="32"/>
        <w:spacing w:beforeAutospacing="0" w:afterAutospacing="0" w:line="0" w:lineRule="atLeast"/>
        <w:jc w:val="center"/>
        <w:rPr>
          <w:color w:val="auto"/>
        </w:rPr>
      </w:pPr>
    </w:p>
    <w:p w14:paraId="19D1816A">
      <w:pPr>
        <w:pStyle w:val="32"/>
        <w:spacing w:beforeAutospacing="0" w:afterAutospacing="0" w:line="0" w:lineRule="atLeast"/>
        <w:jc w:val="center"/>
        <w:rPr>
          <w:color w:val="auto"/>
        </w:rPr>
      </w:pPr>
    </w:p>
    <w:p w14:paraId="01BC68FF">
      <w:pPr>
        <w:pStyle w:val="32"/>
        <w:spacing w:beforeAutospacing="0" w:afterAutospacing="0" w:line="0" w:lineRule="atLeast"/>
        <w:jc w:val="center"/>
        <w:rPr>
          <w:color w:val="auto"/>
        </w:rPr>
      </w:pPr>
    </w:p>
    <w:p w14:paraId="1ADF0B69">
      <w:pPr>
        <w:pStyle w:val="32"/>
        <w:spacing w:beforeAutospacing="0" w:afterAutospacing="0" w:line="0" w:lineRule="atLeast"/>
        <w:jc w:val="center"/>
        <w:rPr>
          <w:color w:val="auto"/>
        </w:rPr>
      </w:pPr>
    </w:p>
    <w:p w14:paraId="09D66206">
      <w:pPr>
        <w:pStyle w:val="32"/>
        <w:spacing w:beforeAutospacing="0" w:afterAutospacing="0" w:line="0" w:lineRule="atLeast"/>
        <w:jc w:val="center"/>
        <w:rPr>
          <w:color w:val="auto"/>
        </w:rPr>
      </w:pPr>
    </w:p>
    <w:p w14:paraId="6C0C1A24">
      <w:pPr>
        <w:pStyle w:val="32"/>
        <w:spacing w:beforeAutospacing="0" w:afterAutospacing="0" w:line="0" w:lineRule="atLeast"/>
        <w:jc w:val="both"/>
        <w:rPr>
          <w:color w:val="auto"/>
        </w:rPr>
      </w:pPr>
      <w:r>
        <w:rPr>
          <w:color w:val="auto"/>
        </w:rPr>
        <w:t> </w:t>
      </w:r>
    </w:p>
    <w:p w14:paraId="7D9FCBFA">
      <w:pPr>
        <w:pStyle w:val="32"/>
        <w:spacing w:beforeAutospacing="0" w:afterAutospacing="0" w:line="0" w:lineRule="atLeast"/>
        <w:jc w:val="center"/>
        <w:rPr>
          <w:color w:val="auto"/>
        </w:rPr>
      </w:pPr>
    </w:p>
    <w:p w14:paraId="256B8327">
      <w:pPr>
        <w:pStyle w:val="32"/>
        <w:spacing w:beforeAutospacing="0" w:afterAutospacing="0" w:line="0" w:lineRule="atLeast"/>
        <w:jc w:val="center"/>
        <w:rPr>
          <w:color w:val="auto"/>
        </w:rPr>
      </w:pPr>
    </w:p>
    <w:p w14:paraId="0BE0C1FF">
      <w:pPr>
        <w:pStyle w:val="32"/>
        <w:spacing w:beforeAutospacing="0" w:afterAutospacing="0" w:line="0" w:lineRule="atLeast"/>
        <w:jc w:val="center"/>
        <w:rPr>
          <w:color w:val="auto"/>
        </w:rPr>
      </w:pPr>
    </w:p>
    <w:p w14:paraId="27449260">
      <w:pPr>
        <w:pStyle w:val="32"/>
        <w:spacing w:beforeAutospacing="0" w:afterAutospacing="0" w:line="0" w:lineRule="atLeast"/>
        <w:jc w:val="center"/>
        <w:rPr>
          <w:color w:val="auto"/>
        </w:rPr>
      </w:pPr>
      <w:r>
        <w:rPr>
          <w:color w:val="auto"/>
        </w:rPr>
        <w:t> </w:t>
      </w:r>
    </w:p>
    <w:p w14:paraId="188580B9">
      <w:pPr>
        <w:pStyle w:val="32"/>
        <w:spacing w:beforeAutospacing="0" w:afterAutospacing="0" w:line="0" w:lineRule="atLeast"/>
        <w:jc w:val="both"/>
        <w:rPr>
          <w:color w:val="auto"/>
        </w:rPr>
      </w:pPr>
    </w:p>
    <w:p w14:paraId="68844F0F">
      <w:pPr>
        <w:pStyle w:val="32"/>
        <w:spacing w:beforeAutospacing="0" w:afterAutospacing="0"/>
        <w:jc w:val="center"/>
        <w:rPr>
          <w:color w:val="auto"/>
        </w:rPr>
      </w:pPr>
      <w:r>
        <w:rPr>
          <w:rFonts w:hint="eastAsia" w:ascii="黑体" w:hAnsi="宋体" w:eastAsia="黑体" w:cs="黑体"/>
          <w:b/>
          <w:color w:val="auto"/>
          <w:sz w:val="32"/>
          <w:szCs w:val="32"/>
        </w:rPr>
        <w:t>十一、投标分项报价表（分包号：**）</w:t>
      </w:r>
    </w:p>
    <w:tbl>
      <w:tblPr>
        <w:tblStyle w:val="35"/>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18BCD09B">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E166BF">
            <w:pPr>
              <w:pStyle w:val="32"/>
              <w:spacing w:beforeAutospacing="0" w:afterAutospacing="0" w:line="0" w:lineRule="atLeast"/>
              <w:jc w:val="center"/>
              <w:rPr>
                <w:color w:val="auto"/>
              </w:rPr>
            </w:pPr>
            <w:r>
              <w:rPr>
                <w:rFonts w:hint="eastAsia" w:ascii="宋体" w:hAnsi="宋体" w:eastAsia="宋体" w:cs="宋体"/>
                <w:color w:val="auto"/>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6609CD">
            <w:pPr>
              <w:pStyle w:val="32"/>
              <w:spacing w:beforeAutospacing="0" w:afterAutospacing="0" w:line="0" w:lineRule="atLeast"/>
              <w:jc w:val="center"/>
              <w:rPr>
                <w:color w:val="auto"/>
              </w:rPr>
            </w:pPr>
            <w:r>
              <w:rPr>
                <w:rFonts w:hint="eastAsia" w:ascii="宋体" w:hAnsi="宋体" w:eastAsia="宋体" w:cs="宋体"/>
                <w:color w:val="auto"/>
              </w:rPr>
              <w:t>1</w:t>
            </w: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77366E">
            <w:pPr>
              <w:pStyle w:val="32"/>
              <w:spacing w:beforeAutospacing="0" w:afterAutospacing="0" w:line="0" w:lineRule="atLeast"/>
              <w:jc w:val="center"/>
              <w:rPr>
                <w:color w:val="auto"/>
              </w:rPr>
            </w:pPr>
            <w:r>
              <w:rPr>
                <w:rFonts w:hint="eastAsia" w:ascii="宋体" w:hAnsi="宋体" w:eastAsia="宋体" w:cs="宋体"/>
                <w:color w:val="auto"/>
              </w:rPr>
              <w:t>2</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3FFE6B">
            <w:pPr>
              <w:pStyle w:val="32"/>
              <w:spacing w:beforeAutospacing="0" w:afterAutospacing="0" w:line="0" w:lineRule="atLeast"/>
              <w:jc w:val="center"/>
              <w:rPr>
                <w:color w:val="auto"/>
              </w:rPr>
            </w:pPr>
            <w:r>
              <w:rPr>
                <w:rFonts w:hint="eastAsia" w:ascii="宋体" w:hAnsi="宋体" w:eastAsia="宋体" w:cs="宋体"/>
                <w:color w:val="auto"/>
              </w:rPr>
              <w:t>3</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456BF6">
            <w:pPr>
              <w:pStyle w:val="32"/>
              <w:spacing w:beforeAutospacing="0" w:afterAutospacing="0" w:line="0" w:lineRule="atLeast"/>
              <w:jc w:val="center"/>
              <w:rPr>
                <w:color w:val="auto"/>
              </w:rPr>
            </w:pPr>
            <w:r>
              <w:rPr>
                <w:rFonts w:hint="eastAsia" w:ascii="宋体" w:hAnsi="宋体" w:eastAsia="宋体" w:cs="宋体"/>
                <w:color w:val="auto"/>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B5D0FA">
            <w:pPr>
              <w:pStyle w:val="32"/>
              <w:spacing w:beforeAutospacing="0" w:afterAutospacing="0" w:line="0" w:lineRule="atLeast"/>
              <w:jc w:val="center"/>
              <w:rPr>
                <w:color w:val="auto"/>
              </w:rPr>
            </w:pPr>
            <w:r>
              <w:rPr>
                <w:rFonts w:hint="eastAsia" w:ascii="宋体" w:hAnsi="宋体" w:eastAsia="宋体" w:cs="宋体"/>
                <w:color w:val="auto"/>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C9DB2C">
            <w:pPr>
              <w:pStyle w:val="32"/>
              <w:spacing w:beforeAutospacing="0" w:afterAutospacing="0" w:line="0" w:lineRule="atLeast"/>
              <w:jc w:val="center"/>
              <w:rPr>
                <w:color w:val="auto"/>
              </w:rPr>
            </w:pPr>
            <w:r>
              <w:rPr>
                <w:rFonts w:hint="eastAsia" w:ascii="宋体" w:hAnsi="宋体" w:eastAsia="宋体" w:cs="宋体"/>
                <w:color w:val="auto"/>
              </w:rPr>
              <w:t>6</w:t>
            </w:r>
          </w:p>
        </w:tc>
      </w:tr>
      <w:tr w14:paraId="330C2CBB">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0768FA">
            <w:pPr>
              <w:rPr>
                <w:rFonts w:ascii="宋体"/>
                <w:color w:val="auto"/>
                <w:sz w:val="24"/>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6F7E00">
            <w:pPr>
              <w:pStyle w:val="32"/>
              <w:spacing w:beforeAutospacing="0" w:afterAutospacing="0" w:line="0" w:lineRule="atLeast"/>
              <w:jc w:val="center"/>
              <w:rPr>
                <w:color w:val="auto"/>
              </w:rPr>
            </w:pPr>
            <w:r>
              <w:rPr>
                <w:rFonts w:hint="eastAsia" w:ascii="宋体" w:hAnsi="宋体" w:eastAsia="宋体" w:cs="宋体"/>
                <w:color w:val="auto"/>
              </w:rPr>
              <w:t>分项服务名称</w:t>
            </w: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9DDB9D">
            <w:pPr>
              <w:pStyle w:val="32"/>
              <w:spacing w:beforeAutospacing="0" w:afterAutospacing="0" w:line="0" w:lineRule="atLeast"/>
              <w:jc w:val="center"/>
              <w:rPr>
                <w:color w:val="auto"/>
              </w:rPr>
            </w:pPr>
            <w:r>
              <w:rPr>
                <w:rFonts w:hint="eastAsia" w:ascii="宋体" w:hAnsi="宋体" w:eastAsia="宋体" w:cs="宋体"/>
                <w:color w:val="auto"/>
              </w:rPr>
              <w:t>交付期</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1D355F">
            <w:pPr>
              <w:pStyle w:val="32"/>
              <w:spacing w:beforeAutospacing="0" w:afterAutospacing="0" w:line="0" w:lineRule="atLeast"/>
              <w:jc w:val="center"/>
              <w:rPr>
                <w:color w:val="auto"/>
              </w:rPr>
            </w:pPr>
            <w:r>
              <w:rPr>
                <w:rFonts w:hint="eastAsia" w:ascii="宋体" w:hAnsi="宋体" w:eastAsia="宋体" w:cs="宋体"/>
                <w:color w:val="auto"/>
              </w:rPr>
              <w:t>分项单位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506EE4">
            <w:pPr>
              <w:pStyle w:val="32"/>
              <w:spacing w:beforeAutospacing="0" w:afterAutospacing="0" w:line="0" w:lineRule="atLeast"/>
              <w:jc w:val="center"/>
              <w:rPr>
                <w:color w:val="auto"/>
              </w:rPr>
            </w:pPr>
            <w:r>
              <w:rPr>
                <w:rFonts w:hint="eastAsia" w:ascii="宋体" w:hAnsi="宋体" w:eastAsia="宋体" w:cs="宋体"/>
                <w:color w:val="auto"/>
              </w:rPr>
              <w:t>数量</w:t>
            </w:r>
          </w:p>
        </w:tc>
        <w:tc>
          <w:tcPr>
            <w:tcW w:w="15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47BA61">
            <w:pPr>
              <w:pStyle w:val="32"/>
              <w:spacing w:beforeAutospacing="0" w:afterAutospacing="0" w:line="0" w:lineRule="atLeast"/>
              <w:jc w:val="center"/>
              <w:rPr>
                <w:color w:val="auto"/>
              </w:rPr>
            </w:pPr>
            <w:r>
              <w:rPr>
                <w:rFonts w:hint="eastAsia" w:ascii="宋体" w:hAnsi="宋体" w:eastAsia="宋体" w:cs="宋体"/>
                <w:color w:val="auto"/>
              </w:rPr>
              <w:t>分项</w:t>
            </w:r>
          </w:p>
          <w:p w14:paraId="4FA31C20">
            <w:pPr>
              <w:pStyle w:val="32"/>
              <w:spacing w:beforeAutospacing="0" w:afterAutospacing="0" w:line="0" w:lineRule="atLeast"/>
              <w:jc w:val="center"/>
              <w:rPr>
                <w:color w:val="auto"/>
              </w:rPr>
            </w:pPr>
            <w:r>
              <w:rPr>
                <w:rFonts w:hint="eastAsia" w:ascii="宋体" w:hAnsi="宋体" w:eastAsia="宋体" w:cs="宋体"/>
                <w:color w:val="auto"/>
              </w:rPr>
              <w:t>单价</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6DED09">
            <w:pPr>
              <w:pStyle w:val="32"/>
              <w:spacing w:beforeAutospacing="0" w:afterAutospacing="0" w:line="0" w:lineRule="atLeast"/>
              <w:jc w:val="center"/>
              <w:rPr>
                <w:color w:val="auto"/>
              </w:rPr>
            </w:pPr>
            <w:r>
              <w:rPr>
                <w:rFonts w:hint="eastAsia" w:ascii="宋体" w:hAnsi="宋体" w:eastAsia="宋体" w:cs="宋体"/>
                <w:color w:val="auto"/>
              </w:rPr>
              <w:t>分项</w:t>
            </w:r>
          </w:p>
          <w:p w14:paraId="3272D68B">
            <w:pPr>
              <w:pStyle w:val="32"/>
              <w:spacing w:beforeAutospacing="0" w:afterAutospacing="0" w:line="0" w:lineRule="atLeast"/>
              <w:jc w:val="center"/>
              <w:rPr>
                <w:color w:val="auto"/>
              </w:rPr>
            </w:pPr>
            <w:r>
              <w:rPr>
                <w:rFonts w:hint="eastAsia" w:ascii="宋体" w:hAnsi="宋体" w:eastAsia="宋体" w:cs="宋体"/>
                <w:color w:val="auto"/>
              </w:rPr>
              <w:t>总价</w:t>
            </w:r>
          </w:p>
        </w:tc>
      </w:tr>
      <w:tr w14:paraId="79454490">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C18E08">
            <w:pPr>
              <w:pStyle w:val="32"/>
              <w:spacing w:beforeAutospacing="0" w:afterAutospacing="0" w:line="0" w:lineRule="atLeast"/>
              <w:jc w:val="center"/>
              <w:rPr>
                <w:color w:val="auto"/>
              </w:rPr>
            </w:pPr>
            <w:r>
              <w:rPr>
                <w:rFonts w:hint="eastAsia" w:ascii="宋体" w:hAnsi="宋体" w:eastAsia="宋体" w:cs="宋体"/>
                <w:color w:val="auto"/>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636962">
            <w:pPr>
              <w:pStyle w:val="32"/>
              <w:spacing w:beforeAutospacing="0" w:afterAutospacing="0" w:line="0" w:lineRule="atLeast"/>
              <w:jc w:val="center"/>
              <w:rPr>
                <w:color w:val="auto"/>
              </w:rPr>
            </w:pPr>
            <w:r>
              <w:rPr>
                <w:color w:val="auto"/>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A44354">
            <w:pPr>
              <w:pStyle w:val="32"/>
              <w:spacing w:beforeAutospacing="0" w:afterAutospacing="0" w:line="0" w:lineRule="atLeast"/>
              <w:jc w:val="center"/>
              <w:rPr>
                <w:color w:val="auto"/>
              </w:rPr>
            </w:pPr>
            <w:r>
              <w:rPr>
                <w:color w:va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8E9E66">
            <w:pPr>
              <w:pStyle w:val="32"/>
              <w:spacing w:beforeAutospacing="0" w:afterAutospacing="0" w:line="0" w:lineRule="atLeast"/>
              <w:jc w:val="center"/>
              <w:rPr>
                <w:color w:val="auto"/>
              </w:rPr>
            </w:pPr>
            <w:r>
              <w:rPr>
                <w:color w:va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88F7CC">
            <w:pPr>
              <w:pStyle w:val="32"/>
              <w:spacing w:beforeAutospacing="0" w:afterAutospacing="0" w:line="0" w:lineRule="atLeast"/>
              <w:jc w:val="center"/>
              <w:rPr>
                <w:color w:val="auto"/>
              </w:rPr>
            </w:pPr>
            <w:r>
              <w:rPr>
                <w:color w:va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D83E85">
            <w:pPr>
              <w:pStyle w:val="32"/>
              <w:spacing w:beforeAutospacing="0" w:afterAutospacing="0" w:line="0" w:lineRule="atLeast"/>
              <w:jc w:val="center"/>
              <w:rPr>
                <w:color w:val="auto"/>
              </w:rPr>
            </w:pPr>
            <w:r>
              <w:rPr>
                <w:color w:va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8DD502">
            <w:pPr>
              <w:pStyle w:val="32"/>
              <w:spacing w:beforeAutospacing="0" w:afterAutospacing="0" w:line="0" w:lineRule="atLeast"/>
              <w:jc w:val="center"/>
              <w:rPr>
                <w:color w:val="auto"/>
              </w:rPr>
            </w:pPr>
            <w:r>
              <w:rPr>
                <w:color w:val="auto"/>
              </w:rPr>
              <w:t> </w:t>
            </w:r>
          </w:p>
        </w:tc>
      </w:tr>
      <w:tr w14:paraId="2AFCECB7">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AD15DE">
            <w:pPr>
              <w:pStyle w:val="32"/>
              <w:spacing w:beforeAutospacing="0" w:afterAutospacing="0" w:line="0" w:lineRule="atLeast"/>
              <w:jc w:val="center"/>
              <w:rPr>
                <w:color w:val="auto"/>
              </w:rPr>
            </w:pPr>
            <w:r>
              <w:rPr>
                <w:rFonts w:hint="eastAsia" w:ascii="宋体" w:hAnsi="宋体" w:eastAsia="宋体" w:cs="宋体"/>
                <w:color w:val="auto"/>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D6B386">
            <w:pPr>
              <w:pStyle w:val="32"/>
              <w:spacing w:beforeAutospacing="0" w:afterAutospacing="0" w:line="0" w:lineRule="atLeast"/>
              <w:jc w:val="center"/>
              <w:rPr>
                <w:color w:val="auto"/>
              </w:rPr>
            </w:pPr>
            <w:r>
              <w:rPr>
                <w:color w:val="auto"/>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17C0E4">
            <w:pPr>
              <w:pStyle w:val="32"/>
              <w:spacing w:beforeAutospacing="0" w:afterAutospacing="0" w:line="0" w:lineRule="atLeast"/>
              <w:jc w:val="center"/>
              <w:rPr>
                <w:color w:val="auto"/>
              </w:rPr>
            </w:pPr>
            <w:r>
              <w:rPr>
                <w:color w:va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06FBBA">
            <w:pPr>
              <w:pStyle w:val="32"/>
              <w:spacing w:beforeAutospacing="0" w:afterAutospacing="0" w:line="0" w:lineRule="atLeast"/>
              <w:jc w:val="center"/>
              <w:rPr>
                <w:color w:val="auto"/>
              </w:rPr>
            </w:pPr>
            <w:r>
              <w:rPr>
                <w:color w:va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5E469D">
            <w:pPr>
              <w:pStyle w:val="32"/>
              <w:spacing w:beforeAutospacing="0" w:afterAutospacing="0" w:line="0" w:lineRule="atLeast"/>
              <w:jc w:val="center"/>
              <w:rPr>
                <w:color w:val="auto"/>
              </w:rPr>
            </w:pPr>
            <w:r>
              <w:rPr>
                <w:color w:va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F991ED">
            <w:pPr>
              <w:pStyle w:val="32"/>
              <w:spacing w:beforeAutospacing="0" w:afterAutospacing="0" w:line="0" w:lineRule="atLeast"/>
              <w:jc w:val="center"/>
              <w:rPr>
                <w:color w:val="auto"/>
              </w:rPr>
            </w:pPr>
            <w:r>
              <w:rPr>
                <w:color w:va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7A421C">
            <w:pPr>
              <w:pStyle w:val="32"/>
              <w:spacing w:beforeAutospacing="0" w:afterAutospacing="0" w:line="0" w:lineRule="atLeast"/>
              <w:jc w:val="center"/>
              <w:rPr>
                <w:color w:val="auto"/>
              </w:rPr>
            </w:pPr>
            <w:r>
              <w:rPr>
                <w:color w:val="auto"/>
              </w:rPr>
              <w:t> </w:t>
            </w:r>
          </w:p>
        </w:tc>
      </w:tr>
      <w:tr w14:paraId="587FFFE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3CE905">
            <w:pPr>
              <w:pStyle w:val="32"/>
              <w:spacing w:beforeAutospacing="0" w:afterAutospacing="0" w:line="0" w:lineRule="atLeast"/>
              <w:jc w:val="center"/>
              <w:rPr>
                <w:color w:val="auto"/>
              </w:rPr>
            </w:pPr>
            <w:r>
              <w:rPr>
                <w:rFonts w:hint="eastAsia" w:ascii="宋体" w:hAnsi="宋体" w:eastAsia="宋体" w:cs="宋体"/>
                <w:color w:val="auto"/>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0F5D2">
            <w:pPr>
              <w:pStyle w:val="32"/>
              <w:spacing w:beforeAutospacing="0" w:afterAutospacing="0" w:line="0" w:lineRule="atLeast"/>
              <w:jc w:val="center"/>
              <w:rPr>
                <w:color w:val="auto"/>
              </w:rPr>
            </w:pPr>
            <w:r>
              <w:rPr>
                <w:color w:val="auto"/>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2610DD">
            <w:pPr>
              <w:pStyle w:val="32"/>
              <w:spacing w:beforeAutospacing="0" w:afterAutospacing="0" w:line="0" w:lineRule="atLeast"/>
              <w:jc w:val="center"/>
              <w:rPr>
                <w:color w:val="auto"/>
              </w:rPr>
            </w:pPr>
            <w:r>
              <w:rPr>
                <w:color w:va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87CBD5">
            <w:pPr>
              <w:pStyle w:val="32"/>
              <w:spacing w:beforeAutospacing="0" w:afterAutospacing="0" w:line="0" w:lineRule="atLeast"/>
              <w:jc w:val="center"/>
              <w:rPr>
                <w:color w:val="auto"/>
              </w:rPr>
            </w:pPr>
            <w:r>
              <w:rPr>
                <w:color w:va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2AF950">
            <w:pPr>
              <w:pStyle w:val="32"/>
              <w:spacing w:beforeAutospacing="0" w:afterAutospacing="0" w:line="0" w:lineRule="atLeast"/>
              <w:jc w:val="center"/>
              <w:rPr>
                <w:color w:val="auto"/>
              </w:rPr>
            </w:pPr>
            <w:r>
              <w:rPr>
                <w:color w:va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FACEA3">
            <w:pPr>
              <w:pStyle w:val="32"/>
              <w:spacing w:beforeAutospacing="0" w:afterAutospacing="0" w:line="0" w:lineRule="atLeast"/>
              <w:jc w:val="center"/>
              <w:rPr>
                <w:color w:val="auto"/>
              </w:rPr>
            </w:pPr>
            <w:r>
              <w:rPr>
                <w:color w:va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7FA7BE">
            <w:pPr>
              <w:pStyle w:val="32"/>
              <w:spacing w:beforeAutospacing="0" w:afterAutospacing="0" w:line="0" w:lineRule="atLeast"/>
              <w:jc w:val="center"/>
              <w:rPr>
                <w:color w:val="auto"/>
              </w:rPr>
            </w:pPr>
            <w:r>
              <w:rPr>
                <w:color w:val="auto"/>
              </w:rPr>
              <w:t> </w:t>
            </w:r>
          </w:p>
        </w:tc>
      </w:tr>
      <w:tr w14:paraId="0D22FA00">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BAC2E8">
            <w:pPr>
              <w:pStyle w:val="32"/>
              <w:spacing w:beforeAutospacing="0" w:afterAutospacing="0" w:line="0" w:lineRule="atLeast"/>
              <w:jc w:val="center"/>
              <w:rPr>
                <w:color w:val="auto"/>
              </w:rPr>
            </w:pPr>
            <w:r>
              <w:rPr>
                <w:rFonts w:hint="eastAsia" w:ascii="宋体" w:hAnsi="宋体" w:eastAsia="宋体" w:cs="宋体"/>
                <w:color w:val="auto"/>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5E5A0C">
            <w:pPr>
              <w:pStyle w:val="32"/>
              <w:spacing w:beforeAutospacing="0" w:afterAutospacing="0" w:line="0" w:lineRule="atLeast"/>
              <w:jc w:val="center"/>
              <w:rPr>
                <w:color w:val="auto"/>
              </w:rPr>
            </w:pPr>
            <w:r>
              <w:rPr>
                <w:rFonts w:hint="eastAsia" w:ascii="宋体" w:hAnsi="宋体" w:eastAsia="宋体" w:cs="宋体"/>
                <w:color w:val="auto"/>
              </w:rPr>
              <w:t>……</w:t>
            </w: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02047D">
            <w:pPr>
              <w:pStyle w:val="32"/>
              <w:spacing w:beforeAutospacing="0" w:afterAutospacing="0" w:line="0" w:lineRule="atLeast"/>
              <w:jc w:val="center"/>
              <w:rPr>
                <w:color w:val="auto"/>
              </w:rPr>
            </w:pPr>
            <w:r>
              <w:rPr>
                <w:color w:va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B3B414">
            <w:pPr>
              <w:pStyle w:val="32"/>
              <w:spacing w:beforeAutospacing="0" w:afterAutospacing="0" w:line="0" w:lineRule="atLeast"/>
              <w:jc w:val="center"/>
              <w:rPr>
                <w:color w:val="auto"/>
              </w:rPr>
            </w:pPr>
            <w:r>
              <w:rPr>
                <w:color w:va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63E48">
            <w:pPr>
              <w:pStyle w:val="32"/>
              <w:spacing w:beforeAutospacing="0" w:afterAutospacing="0" w:line="0" w:lineRule="atLeast"/>
              <w:jc w:val="center"/>
              <w:rPr>
                <w:color w:val="auto"/>
              </w:rPr>
            </w:pPr>
            <w:r>
              <w:rPr>
                <w:color w:va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E15348">
            <w:pPr>
              <w:pStyle w:val="32"/>
              <w:spacing w:beforeAutospacing="0" w:afterAutospacing="0" w:line="0" w:lineRule="atLeast"/>
              <w:jc w:val="center"/>
              <w:rPr>
                <w:color w:val="auto"/>
              </w:rPr>
            </w:pPr>
            <w:r>
              <w:rPr>
                <w:color w:va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43DE8F">
            <w:pPr>
              <w:pStyle w:val="32"/>
              <w:spacing w:beforeAutospacing="0" w:afterAutospacing="0" w:line="0" w:lineRule="atLeast"/>
              <w:jc w:val="center"/>
              <w:rPr>
                <w:color w:val="auto"/>
              </w:rPr>
            </w:pPr>
            <w:r>
              <w:rPr>
                <w:color w:val="auto"/>
              </w:rPr>
              <w:t> </w:t>
            </w:r>
          </w:p>
        </w:tc>
      </w:tr>
      <w:tr w14:paraId="6061CDED">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C01A1A">
            <w:pPr>
              <w:pStyle w:val="32"/>
              <w:spacing w:beforeAutospacing="0" w:afterAutospacing="0" w:line="0" w:lineRule="atLeast"/>
              <w:jc w:val="center"/>
              <w:rPr>
                <w:color w:val="auto"/>
              </w:rPr>
            </w:pPr>
            <w:r>
              <w:rPr>
                <w:rFonts w:hint="eastAsia" w:ascii="宋体" w:hAnsi="宋体" w:eastAsia="宋体" w:cs="宋体"/>
                <w:color w:val="auto"/>
              </w:rPr>
              <w:t>投标总报价（人民币：元）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2753A5">
            <w:pPr>
              <w:pStyle w:val="32"/>
              <w:spacing w:beforeAutospacing="0" w:afterAutospacing="0" w:line="0" w:lineRule="atLeast"/>
              <w:jc w:val="both"/>
              <w:rPr>
                <w:color w:val="auto"/>
              </w:rPr>
            </w:pPr>
            <w:r>
              <w:rPr>
                <w:color w:val="auto"/>
              </w:rPr>
              <w:t> </w:t>
            </w:r>
          </w:p>
        </w:tc>
      </w:tr>
    </w:tbl>
    <w:p w14:paraId="1CAD1EA1">
      <w:pPr>
        <w:pStyle w:val="32"/>
        <w:spacing w:beforeAutospacing="0" w:afterAutospacing="0" w:line="0" w:lineRule="atLeast"/>
        <w:ind w:firstLine="480"/>
        <w:jc w:val="both"/>
        <w:rPr>
          <w:rFonts w:ascii="宋体" w:hAnsi="宋体" w:eastAsia="宋体" w:cs="宋体"/>
          <w:color w:val="auto"/>
        </w:rPr>
      </w:pPr>
      <w:r>
        <w:rPr>
          <w:rFonts w:hint="eastAsia" w:ascii="宋体" w:hAnsi="宋体" w:eastAsia="宋体" w:cs="宋体"/>
          <w:color w:val="auto"/>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17E169BC">
      <w:pPr>
        <w:pStyle w:val="32"/>
        <w:spacing w:beforeAutospacing="0" w:afterAutospacing="0" w:line="0" w:lineRule="atLeast"/>
        <w:ind w:firstLine="480"/>
        <w:jc w:val="both"/>
        <w:rPr>
          <w:rFonts w:ascii="宋体" w:hAnsi="宋体" w:eastAsia="宋体" w:cs="宋体"/>
          <w:color w:val="auto"/>
        </w:rPr>
      </w:pPr>
      <w:r>
        <w:rPr>
          <w:rFonts w:hint="eastAsia" w:ascii="宋体" w:hAnsi="宋体" w:eastAsia="宋体" w:cs="宋体"/>
          <w:color w:val="auto"/>
        </w:rPr>
        <w:t>备注：该表仅适用于项目采用货币报价的情形。项目采用折扣率报价的，如需要填写投标分项报价表，请项目经办人自行设计表格。招标文件定稿后该备注删除。</w:t>
      </w:r>
    </w:p>
    <w:p w14:paraId="742A91A9">
      <w:pPr>
        <w:pStyle w:val="32"/>
        <w:spacing w:beforeAutospacing="0" w:afterAutospacing="0" w:line="0" w:lineRule="atLeast"/>
        <w:ind w:firstLine="480"/>
        <w:jc w:val="both"/>
        <w:rPr>
          <w:rFonts w:ascii="宋体" w:hAnsi="宋体" w:eastAsia="宋体" w:cs="宋体"/>
          <w:color w:val="auto"/>
        </w:rPr>
      </w:pPr>
      <w:r>
        <w:rPr>
          <w:rFonts w:hint="eastAsia" w:ascii="宋体" w:hAnsi="宋体" w:eastAsia="宋体" w:cs="宋体"/>
          <w:color w:val="auto"/>
        </w:rPr>
        <w:t> </w:t>
      </w:r>
    </w:p>
    <w:p w14:paraId="4EF480BE">
      <w:pPr>
        <w:pStyle w:val="32"/>
        <w:spacing w:beforeAutospacing="0" w:afterAutospacing="0"/>
        <w:jc w:val="center"/>
        <w:rPr>
          <w:color w:val="auto"/>
        </w:rPr>
      </w:pPr>
      <w:r>
        <w:rPr>
          <w:color w:val="auto"/>
        </w:rPr>
        <w:t> </w:t>
      </w:r>
    </w:p>
    <w:p w14:paraId="4D9B4851">
      <w:pPr>
        <w:pStyle w:val="32"/>
        <w:spacing w:beforeAutospacing="0" w:afterAutospacing="0"/>
        <w:jc w:val="center"/>
        <w:rPr>
          <w:color w:val="auto"/>
        </w:rPr>
      </w:pPr>
      <w:r>
        <w:rPr>
          <w:color w:val="auto"/>
        </w:rPr>
        <w:t> </w:t>
      </w:r>
    </w:p>
    <w:p w14:paraId="0733E028">
      <w:pPr>
        <w:pStyle w:val="32"/>
        <w:spacing w:beforeAutospacing="0" w:afterAutospacing="0"/>
        <w:jc w:val="center"/>
        <w:rPr>
          <w:color w:val="auto"/>
        </w:rPr>
      </w:pPr>
      <w:r>
        <w:rPr>
          <w:color w:val="auto"/>
        </w:rPr>
        <w:t> </w:t>
      </w:r>
    </w:p>
    <w:p w14:paraId="719ED7F9">
      <w:pPr>
        <w:pStyle w:val="32"/>
        <w:spacing w:beforeAutospacing="0" w:afterAutospacing="0"/>
        <w:jc w:val="center"/>
        <w:rPr>
          <w:color w:val="auto"/>
        </w:rPr>
      </w:pPr>
      <w:r>
        <w:rPr>
          <w:color w:val="auto"/>
        </w:rPr>
        <w:t> </w:t>
      </w:r>
    </w:p>
    <w:p w14:paraId="71DB5C2D">
      <w:pPr>
        <w:pStyle w:val="32"/>
        <w:spacing w:beforeAutospacing="0" w:afterAutospacing="0"/>
        <w:jc w:val="center"/>
        <w:rPr>
          <w:color w:val="auto"/>
        </w:rPr>
      </w:pPr>
    </w:p>
    <w:p w14:paraId="1FE22849">
      <w:pPr>
        <w:pStyle w:val="32"/>
        <w:spacing w:beforeAutospacing="0" w:afterAutospacing="0"/>
        <w:jc w:val="center"/>
        <w:rPr>
          <w:color w:val="auto"/>
        </w:rPr>
      </w:pPr>
    </w:p>
    <w:p w14:paraId="6CD7D081">
      <w:pPr>
        <w:pStyle w:val="32"/>
        <w:spacing w:beforeAutospacing="0" w:afterAutospacing="0"/>
        <w:jc w:val="center"/>
        <w:rPr>
          <w:color w:val="auto"/>
        </w:rPr>
      </w:pPr>
    </w:p>
    <w:p w14:paraId="1DC8D773">
      <w:pPr>
        <w:pStyle w:val="32"/>
        <w:spacing w:beforeAutospacing="0" w:afterAutospacing="0"/>
        <w:jc w:val="center"/>
        <w:rPr>
          <w:color w:val="auto"/>
        </w:rPr>
      </w:pPr>
    </w:p>
    <w:p w14:paraId="60FC0A03">
      <w:pPr>
        <w:pStyle w:val="32"/>
        <w:spacing w:beforeAutospacing="0" w:afterAutospacing="0"/>
        <w:jc w:val="center"/>
        <w:rPr>
          <w:color w:val="auto"/>
        </w:rPr>
      </w:pPr>
    </w:p>
    <w:p w14:paraId="42D09FB9">
      <w:pPr>
        <w:pStyle w:val="32"/>
        <w:spacing w:beforeAutospacing="0" w:afterAutospacing="0"/>
        <w:jc w:val="center"/>
        <w:rPr>
          <w:color w:val="auto"/>
        </w:rPr>
      </w:pPr>
    </w:p>
    <w:p w14:paraId="508CC7CC">
      <w:pPr>
        <w:pStyle w:val="32"/>
        <w:spacing w:beforeAutospacing="0" w:afterAutospacing="0"/>
        <w:jc w:val="center"/>
        <w:rPr>
          <w:color w:val="auto"/>
        </w:rPr>
      </w:pPr>
    </w:p>
    <w:p w14:paraId="38C88C25">
      <w:pPr>
        <w:pStyle w:val="32"/>
        <w:spacing w:beforeAutospacing="0" w:afterAutospacing="0"/>
        <w:jc w:val="center"/>
        <w:rPr>
          <w:color w:val="auto"/>
        </w:rPr>
      </w:pPr>
    </w:p>
    <w:p w14:paraId="52091EE5">
      <w:pPr>
        <w:pStyle w:val="32"/>
        <w:spacing w:beforeAutospacing="0" w:afterAutospacing="0"/>
        <w:jc w:val="center"/>
        <w:rPr>
          <w:color w:val="auto"/>
        </w:rPr>
      </w:pPr>
    </w:p>
    <w:p w14:paraId="4BD218AB">
      <w:pPr>
        <w:pStyle w:val="32"/>
        <w:spacing w:beforeAutospacing="0" w:afterAutospacing="0"/>
        <w:jc w:val="center"/>
        <w:rPr>
          <w:color w:val="auto"/>
        </w:rPr>
      </w:pPr>
      <w:r>
        <w:rPr>
          <w:color w:val="auto"/>
        </w:rPr>
        <w:t> </w:t>
      </w:r>
    </w:p>
    <w:p w14:paraId="43E85C81">
      <w:pPr>
        <w:pStyle w:val="32"/>
        <w:spacing w:beforeAutospacing="0" w:afterAutospacing="0"/>
        <w:jc w:val="center"/>
        <w:rPr>
          <w:color w:val="auto"/>
        </w:rPr>
      </w:pPr>
      <w:r>
        <w:rPr>
          <w:color w:val="auto"/>
        </w:rPr>
        <w:t> </w:t>
      </w:r>
    </w:p>
    <w:p w14:paraId="122615F7">
      <w:pPr>
        <w:pStyle w:val="32"/>
        <w:spacing w:beforeAutospacing="0" w:afterAutospacing="0"/>
        <w:jc w:val="center"/>
        <w:rPr>
          <w:color w:val="auto"/>
        </w:rPr>
      </w:pPr>
      <w:r>
        <w:rPr>
          <w:color w:val="auto"/>
        </w:rPr>
        <w:t> </w:t>
      </w:r>
    </w:p>
    <w:p w14:paraId="2C34964D">
      <w:pPr>
        <w:pStyle w:val="32"/>
        <w:spacing w:beforeAutospacing="0" w:afterAutospacing="0"/>
        <w:jc w:val="center"/>
        <w:rPr>
          <w:color w:val="auto"/>
        </w:rPr>
      </w:pPr>
      <w:r>
        <w:rPr>
          <w:color w:val="auto"/>
        </w:rPr>
        <w:t> </w:t>
      </w:r>
    </w:p>
    <w:p w14:paraId="203E3D94">
      <w:pPr>
        <w:rPr>
          <w:color w:val="auto"/>
        </w:rPr>
      </w:pPr>
      <w:r>
        <w:rPr>
          <w:color w:val="auto"/>
        </w:rPr>
        <w:br w:type="page" w:clear="all"/>
      </w:r>
    </w:p>
    <w:p w14:paraId="6034F5DC">
      <w:pPr>
        <w:pStyle w:val="32"/>
        <w:spacing w:beforeAutospacing="0" w:afterAutospacing="0"/>
        <w:jc w:val="center"/>
        <w:rPr>
          <w:color w:val="auto"/>
        </w:rPr>
      </w:pPr>
      <w:r>
        <w:rPr>
          <w:rFonts w:hint="eastAsia" w:ascii="黑体" w:hAnsi="宋体" w:eastAsia="黑体" w:cs="黑体"/>
          <w:b/>
          <w:color w:val="auto"/>
          <w:sz w:val="32"/>
          <w:szCs w:val="32"/>
        </w:rPr>
        <w:t>十二、技术要求响应及偏离表（分包号：**）</w:t>
      </w:r>
    </w:p>
    <w:tbl>
      <w:tblPr>
        <w:tblStyle w:val="35"/>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1AAD0C20">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7B1A70">
            <w:pPr>
              <w:pStyle w:val="32"/>
              <w:spacing w:beforeAutospacing="0" w:afterAutospacing="0"/>
              <w:jc w:val="center"/>
              <w:rPr>
                <w:color w:val="auto"/>
              </w:rPr>
            </w:pPr>
            <w:r>
              <w:rPr>
                <w:rFonts w:hint="eastAsia" w:ascii="宋体" w:hAnsi="宋体" w:eastAsia="宋体" w:cs="宋体"/>
                <w:color w:val="auto"/>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8CC829">
            <w:pPr>
              <w:pStyle w:val="32"/>
              <w:spacing w:beforeAutospacing="0" w:afterAutospacing="0"/>
              <w:jc w:val="center"/>
              <w:rPr>
                <w:color w:val="auto"/>
              </w:rPr>
            </w:pPr>
            <w:r>
              <w:rPr>
                <w:rFonts w:hint="eastAsia" w:ascii="宋体" w:hAnsi="宋体" w:eastAsia="宋体" w:cs="宋体"/>
                <w:color w:val="auto"/>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2E810E">
            <w:pPr>
              <w:pStyle w:val="32"/>
              <w:spacing w:beforeAutospacing="0" w:afterAutospacing="0"/>
              <w:jc w:val="center"/>
              <w:rPr>
                <w:color w:val="auto"/>
              </w:rPr>
            </w:pPr>
            <w:r>
              <w:rPr>
                <w:rFonts w:hint="eastAsia" w:ascii="宋体" w:hAnsi="宋体" w:eastAsia="宋体" w:cs="宋体"/>
                <w:color w:val="auto"/>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2F76D0">
            <w:pPr>
              <w:pStyle w:val="32"/>
              <w:spacing w:beforeAutospacing="0" w:afterAutospacing="0"/>
              <w:jc w:val="center"/>
              <w:rPr>
                <w:color w:val="auto"/>
              </w:rPr>
            </w:pPr>
            <w:r>
              <w:rPr>
                <w:rFonts w:hint="eastAsia" w:ascii="宋体" w:hAnsi="宋体" w:eastAsia="宋体" w:cs="宋体"/>
                <w:color w:va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4058F1">
            <w:pPr>
              <w:pStyle w:val="32"/>
              <w:spacing w:beforeAutospacing="0" w:afterAutospacing="0"/>
              <w:jc w:val="center"/>
              <w:rPr>
                <w:color w:val="auto"/>
              </w:rPr>
            </w:pPr>
            <w:r>
              <w:rPr>
                <w:rFonts w:hint="eastAsia" w:ascii="宋体" w:hAnsi="宋体" w:eastAsia="宋体" w:cs="宋体"/>
                <w:color w:val="auto"/>
              </w:rPr>
              <w:t>证明</w:t>
            </w:r>
          </w:p>
          <w:p w14:paraId="513973E7">
            <w:pPr>
              <w:pStyle w:val="32"/>
              <w:spacing w:beforeAutospacing="0" w:afterAutospacing="0"/>
              <w:jc w:val="center"/>
              <w:rPr>
                <w:color w:val="auto"/>
              </w:rPr>
            </w:pPr>
            <w:r>
              <w:rPr>
                <w:rFonts w:hint="eastAsia" w:ascii="宋体" w:hAnsi="宋体" w:eastAsia="宋体" w:cs="宋体"/>
                <w:color w:val="auto"/>
              </w:rPr>
              <w:t>材料</w:t>
            </w:r>
          </w:p>
        </w:tc>
      </w:tr>
      <w:tr w14:paraId="32CD3CD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453BC5">
            <w:pPr>
              <w:pStyle w:val="32"/>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42C42F">
            <w:pPr>
              <w:pStyle w:val="32"/>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6C96DC">
            <w:pPr>
              <w:pStyle w:val="32"/>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8562FC">
            <w:pPr>
              <w:pStyle w:val="32"/>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54D233">
            <w:pPr>
              <w:pStyle w:val="32"/>
              <w:spacing w:beforeAutospacing="0" w:afterAutospacing="0"/>
              <w:jc w:val="center"/>
              <w:rPr>
                <w:color w:val="auto"/>
              </w:rPr>
            </w:pPr>
            <w:r>
              <w:rPr>
                <w:color w:val="auto"/>
              </w:rPr>
              <w:t> </w:t>
            </w:r>
          </w:p>
        </w:tc>
      </w:tr>
      <w:tr w14:paraId="01E56EC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502A58">
            <w:pPr>
              <w:pStyle w:val="32"/>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F929D8">
            <w:pPr>
              <w:pStyle w:val="32"/>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96158F">
            <w:pPr>
              <w:pStyle w:val="32"/>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9B4B0A">
            <w:pPr>
              <w:pStyle w:val="32"/>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76F6C4">
            <w:pPr>
              <w:pStyle w:val="32"/>
              <w:spacing w:beforeAutospacing="0" w:afterAutospacing="0"/>
              <w:jc w:val="center"/>
              <w:rPr>
                <w:color w:val="auto"/>
              </w:rPr>
            </w:pPr>
            <w:r>
              <w:rPr>
                <w:color w:val="auto"/>
              </w:rPr>
              <w:t> </w:t>
            </w:r>
          </w:p>
        </w:tc>
      </w:tr>
      <w:tr w14:paraId="29B7612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A4CEAC">
            <w:pPr>
              <w:pStyle w:val="32"/>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8B968F">
            <w:pPr>
              <w:pStyle w:val="32"/>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5E42AA">
            <w:pPr>
              <w:pStyle w:val="32"/>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D1BED5">
            <w:pPr>
              <w:pStyle w:val="32"/>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5D1FCF">
            <w:pPr>
              <w:pStyle w:val="32"/>
              <w:spacing w:beforeAutospacing="0" w:afterAutospacing="0"/>
              <w:jc w:val="center"/>
              <w:rPr>
                <w:color w:val="auto"/>
              </w:rPr>
            </w:pPr>
            <w:r>
              <w:rPr>
                <w:color w:val="auto"/>
              </w:rPr>
              <w:t> </w:t>
            </w:r>
          </w:p>
        </w:tc>
      </w:tr>
      <w:tr w14:paraId="677A5E8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9B3F5B">
            <w:pPr>
              <w:pStyle w:val="32"/>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3E3EFA">
            <w:pPr>
              <w:pStyle w:val="32"/>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7526F1">
            <w:pPr>
              <w:pStyle w:val="32"/>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CF450D">
            <w:pPr>
              <w:pStyle w:val="32"/>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23549B">
            <w:pPr>
              <w:pStyle w:val="32"/>
              <w:spacing w:beforeAutospacing="0" w:afterAutospacing="0"/>
              <w:jc w:val="center"/>
              <w:rPr>
                <w:color w:val="auto"/>
              </w:rPr>
            </w:pPr>
            <w:r>
              <w:rPr>
                <w:color w:val="auto"/>
              </w:rPr>
              <w:t> </w:t>
            </w:r>
          </w:p>
        </w:tc>
      </w:tr>
      <w:tr w14:paraId="1E797EB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759E9E">
            <w:pPr>
              <w:pStyle w:val="32"/>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889B56">
            <w:pPr>
              <w:pStyle w:val="32"/>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6074AE">
            <w:pPr>
              <w:pStyle w:val="32"/>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83E28E">
            <w:pPr>
              <w:pStyle w:val="32"/>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96E0B4">
            <w:pPr>
              <w:pStyle w:val="32"/>
              <w:spacing w:beforeAutospacing="0" w:afterAutospacing="0"/>
              <w:jc w:val="center"/>
              <w:rPr>
                <w:color w:val="auto"/>
              </w:rPr>
            </w:pPr>
            <w:r>
              <w:rPr>
                <w:color w:val="auto"/>
              </w:rPr>
              <w:t> </w:t>
            </w:r>
          </w:p>
        </w:tc>
      </w:tr>
      <w:tr w14:paraId="52CAE30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8CCC66">
            <w:pPr>
              <w:pStyle w:val="32"/>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A24AD2">
            <w:pPr>
              <w:pStyle w:val="32"/>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FD46D5">
            <w:pPr>
              <w:pStyle w:val="32"/>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84B205">
            <w:pPr>
              <w:pStyle w:val="32"/>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6E757E">
            <w:pPr>
              <w:pStyle w:val="32"/>
              <w:spacing w:beforeAutospacing="0" w:afterAutospacing="0"/>
              <w:jc w:val="center"/>
              <w:rPr>
                <w:color w:val="auto"/>
              </w:rPr>
            </w:pPr>
            <w:r>
              <w:rPr>
                <w:color w:val="auto"/>
              </w:rPr>
              <w:t> </w:t>
            </w:r>
          </w:p>
        </w:tc>
      </w:tr>
      <w:tr w14:paraId="107B2FE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A98202">
            <w:pPr>
              <w:pStyle w:val="32"/>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9FA6AE">
            <w:pPr>
              <w:pStyle w:val="32"/>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C6926D">
            <w:pPr>
              <w:pStyle w:val="32"/>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EADCAC">
            <w:pPr>
              <w:pStyle w:val="32"/>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066A1A">
            <w:pPr>
              <w:pStyle w:val="32"/>
              <w:spacing w:beforeAutospacing="0" w:afterAutospacing="0"/>
              <w:jc w:val="center"/>
              <w:rPr>
                <w:color w:val="auto"/>
              </w:rPr>
            </w:pPr>
            <w:r>
              <w:rPr>
                <w:color w:val="auto"/>
              </w:rPr>
              <w:t> </w:t>
            </w:r>
          </w:p>
        </w:tc>
      </w:tr>
      <w:tr w14:paraId="24D2CA5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7F6645">
            <w:pPr>
              <w:pStyle w:val="32"/>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2B8684">
            <w:pPr>
              <w:pStyle w:val="32"/>
              <w:spacing w:beforeAutospacing="0" w:afterAutospacing="0"/>
              <w:jc w:val="center"/>
              <w:rPr>
                <w:color w:val="auto"/>
              </w:rPr>
            </w:pPr>
            <w:r>
              <w:rPr>
                <w:rFonts w:hint="eastAsia" w:ascii="宋体" w:hAnsi="宋体" w:eastAsia="宋体" w:cs="宋体"/>
                <w:color w:va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2BB6CF">
            <w:pPr>
              <w:pStyle w:val="32"/>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9D3186">
            <w:pPr>
              <w:pStyle w:val="32"/>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035A9B">
            <w:pPr>
              <w:pStyle w:val="32"/>
              <w:spacing w:beforeAutospacing="0" w:afterAutospacing="0"/>
              <w:jc w:val="center"/>
              <w:rPr>
                <w:color w:val="auto"/>
              </w:rPr>
            </w:pPr>
            <w:r>
              <w:rPr>
                <w:color w:val="auto"/>
              </w:rPr>
              <w:t> </w:t>
            </w:r>
          </w:p>
        </w:tc>
      </w:tr>
    </w:tbl>
    <w:p w14:paraId="1DC6B501">
      <w:pPr>
        <w:pStyle w:val="32"/>
        <w:spacing w:beforeAutospacing="0" w:afterAutospacing="0"/>
        <w:jc w:val="both"/>
        <w:rPr>
          <w:color w:val="auto"/>
        </w:rPr>
      </w:pPr>
      <w:r>
        <w:rPr>
          <w:rFonts w:hint="eastAsia" w:ascii="宋体" w:hAnsi="宋体" w:eastAsia="宋体" w:cs="宋体"/>
          <w:color w:val="auto"/>
        </w:rPr>
        <w:t>注： 行数不够，可自行添加。</w:t>
      </w:r>
    </w:p>
    <w:p w14:paraId="4D3AD657">
      <w:pPr>
        <w:pStyle w:val="32"/>
        <w:spacing w:beforeAutospacing="0" w:afterAutospacing="0"/>
        <w:jc w:val="center"/>
        <w:rPr>
          <w:color w:val="auto"/>
        </w:rPr>
      </w:pPr>
      <w:r>
        <w:rPr>
          <w:color w:val="auto"/>
        </w:rPr>
        <w:t> </w:t>
      </w:r>
    </w:p>
    <w:p w14:paraId="49A95EDD">
      <w:pPr>
        <w:pStyle w:val="32"/>
        <w:spacing w:beforeAutospacing="0" w:afterAutospacing="0"/>
        <w:jc w:val="center"/>
        <w:rPr>
          <w:color w:val="auto"/>
        </w:rPr>
      </w:pPr>
      <w:r>
        <w:rPr>
          <w:color w:val="auto"/>
        </w:rPr>
        <w:t> </w:t>
      </w:r>
    </w:p>
    <w:p w14:paraId="20B696ED">
      <w:pPr>
        <w:pStyle w:val="32"/>
        <w:spacing w:beforeAutospacing="0" w:afterAutospacing="0"/>
        <w:jc w:val="center"/>
        <w:rPr>
          <w:color w:val="auto"/>
        </w:rPr>
      </w:pPr>
      <w:r>
        <w:rPr>
          <w:color w:val="auto"/>
        </w:rPr>
        <w:t> </w:t>
      </w:r>
    </w:p>
    <w:p w14:paraId="1C118B46">
      <w:pPr>
        <w:pStyle w:val="32"/>
        <w:spacing w:beforeAutospacing="0" w:afterAutospacing="0"/>
        <w:jc w:val="center"/>
        <w:rPr>
          <w:color w:val="auto"/>
        </w:rPr>
      </w:pPr>
      <w:r>
        <w:rPr>
          <w:color w:val="auto"/>
        </w:rPr>
        <w:t> </w:t>
      </w:r>
    </w:p>
    <w:p w14:paraId="08BCF37A">
      <w:pPr>
        <w:pStyle w:val="32"/>
        <w:spacing w:beforeAutospacing="0" w:afterAutospacing="0"/>
        <w:jc w:val="both"/>
        <w:rPr>
          <w:color w:val="auto"/>
        </w:rPr>
      </w:pPr>
      <w:r>
        <w:rPr>
          <w:color w:val="auto"/>
        </w:rPr>
        <w:t> </w:t>
      </w:r>
    </w:p>
    <w:p w14:paraId="1DE29754">
      <w:pPr>
        <w:pStyle w:val="32"/>
        <w:spacing w:beforeAutospacing="0" w:afterAutospacing="0"/>
        <w:jc w:val="both"/>
        <w:rPr>
          <w:color w:val="auto"/>
        </w:rPr>
      </w:pPr>
      <w:r>
        <w:rPr>
          <w:color w:val="auto"/>
        </w:rPr>
        <w:t> </w:t>
      </w:r>
    </w:p>
    <w:p w14:paraId="00154C10">
      <w:pPr>
        <w:pStyle w:val="32"/>
        <w:spacing w:beforeAutospacing="0" w:afterAutospacing="0"/>
        <w:jc w:val="both"/>
        <w:rPr>
          <w:color w:val="auto"/>
        </w:rPr>
      </w:pPr>
      <w:r>
        <w:rPr>
          <w:color w:val="auto"/>
        </w:rPr>
        <w:t> </w:t>
      </w:r>
    </w:p>
    <w:p w14:paraId="516DBF40">
      <w:pPr>
        <w:pStyle w:val="32"/>
        <w:spacing w:beforeAutospacing="0" w:afterAutospacing="0"/>
        <w:jc w:val="both"/>
        <w:rPr>
          <w:color w:val="auto"/>
        </w:rPr>
      </w:pPr>
      <w:r>
        <w:rPr>
          <w:color w:val="auto"/>
        </w:rPr>
        <w:t> </w:t>
      </w:r>
    </w:p>
    <w:p w14:paraId="1EB5D145">
      <w:pPr>
        <w:pStyle w:val="32"/>
        <w:spacing w:beforeAutospacing="0" w:afterAutospacing="0"/>
        <w:jc w:val="both"/>
        <w:rPr>
          <w:color w:val="auto"/>
        </w:rPr>
      </w:pPr>
    </w:p>
    <w:p w14:paraId="4357BE11">
      <w:pPr>
        <w:pStyle w:val="32"/>
        <w:spacing w:beforeAutospacing="0" w:afterAutospacing="0"/>
        <w:jc w:val="both"/>
        <w:rPr>
          <w:color w:val="auto"/>
        </w:rPr>
      </w:pPr>
    </w:p>
    <w:p w14:paraId="24D66D6C">
      <w:pPr>
        <w:pStyle w:val="32"/>
        <w:spacing w:beforeAutospacing="0" w:afterAutospacing="0"/>
        <w:jc w:val="both"/>
        <w:rPr>
          <w:color w:val="auto"/>
        </w:rPr>
      </w:pPr>
    </w:p>
    <w:p w14:paraId="3BAAE03F">
      <w:pPr>
        <w:pStyle w:val="32"/>
        <w:spacing w:beforeAutospacing="0" w:afterAutospacing="0"/>
        <w:jc w:val="both"/>
        <w:rPr>
          <w:color w:val="auto"/>
        </w:rPr>
      </w:pPr>
    </w:p>
    <w:p w14:paraId="129164BD">
      <w:pPr>
        <w:pStyle w:val="32"/>
        <w:spacing w:beforeAutospacing="0" w:afterAutospacing="0"/>
        <w:jc w:val="both"/>
        <w:rPr>
          <w:color w:val="auto"/>
        </w:rPr>
      </w:pPr>
    </w:p>
    <w:p w14:paraId="3A7C2D42">
      <w:pPr>
        <w:pStyle w:val="32"/>
        <w:spacing w:beforeAutospacing="0" w:afterAutospacing="0"/>
        <w:jc w:val="both"/>
        <w:rPr>
          <w:color w:val="auto"/>
        </w:rPr>
      </w:pPr>
    </w:p>
    <w:p w14:paraId="04C9767F">
      <w:pPr>
        <w:pStyle w:val="32"/>
        <w:spacing w:beforeAutospacing="0" w:afterAutospacing="0"/>
        <w:jc w:val="both"/>
        <w:rPr>
          <w:color w:val="auto"/>
        </w:rPr>
      </w:pPr>
    </w:p>
    <w:p w14:paraId="7FADC2C0">
      <w:pPr>
        <w:pStyle w:val="32"/>
        <w:spacing w:beforeAutospacing="0" w:afterAutospacing="0"/>
        <w:jc w:val="both"/>
        <w:rPr>
          <w:color w:val="auto"/>
        </w:rPr>
      </w:pPr>
    </w:p>
    <w:p w14:paraId="633DAD2E">
      <w:pPr>
        <w:pStyle w:val="32"/>
        <w:spacing w:beforeAutospacing="0" w:afterAutospacing="0"/>
        <w:jc w:val="both"/>
        <w:rPr>
          <w:color w:val="auto"/>
        </w:rPr>
      </w:pPr>
    </w:p>
    <w:p w14:paraId="652108F1">
      <w:pPr>
        <w:pStyle w:val="32"/>
        <w:spacing w:beforeAutospacing="0" w:afterAutospacing="0"/>
        <w:jc w:val="both"/>
        <w:rPr>
          <w:color w:val="auto"/>
        </w:rPr>
      </w:pPr>
    </w:p>
    <w:p w14:paraId="399430D9">
      <w:pPr>
        <w:pStyle w:val="32"/>
        <w:spacing w:beforeAutospacing="0" w:afterAutospacing="0"/>
        <w:jc w:val="both"/>
        <w:rPr>
          <w:color w:val="auto"/>
        </w:rPr>
      </w:pPr>
    </w:p>
    <w:p w14:paraId="29E78D87">
      <w:pPr>
        <w:pStyle w:val="32"/>
        <w:spacing w:beforeAutospacing="0" w:afterAutospacing="0"/>
        <w:jc w:val="both"/>
        <w:rPr>
          <w:color w:val="auto"/>
        </w:rPr>
      </w:pPr>
    </w:p>
    <w:p w14:paraId="284E2DAB">
      <w:pPr>
        <w:pStyle w:val="32"/>
        <w:spacing w:beforeAutospacing="0" w:afterAutospacing="0"/>
        <w:jc w:val="both"/>
        <w:rPr>
          <w:color w:val="auto"/>
        </w:rPr>
      </w:pPr>
    </w:p>
    <w:p w14:paraId="0F11F8D1">
      <w:pPr>
        <w:pStyle w:val="32"/>
        <w:spacing w:beforeAutospacing="0" w:afterAutospacing="0"/>
        <w:jc w:val="both"/>
        <w:rPr>
          <w:color w:val="auto"/>
        </w:rPr>
      </w:pPr>
      <w:r>
        <w:rPr>
          <w:color w:val="auto"/>
        </w:rPr>
        <w:t> </w:t>
      </w:r>
    </w:p>
    <w:p w14:paraId="78DD66F0">
      <w:pPr>
        <w:pStyle w:val="32"/>
        <w:spacing w:beforeAutospacing="0" w:afterAutospacing="0"/>
        <w:jc w:val="both"/>
        <w:rPr>
          <w:color w:val="auto"/>
        </w:rPr>
      </w:pPr>
      <w:r>
        <w:rPr>
          <w:color w:val="auto"/>
        </w:rPr>
        <w:t> </w:t>
      </w:r>
    </w:p>
    <w:p w14:paraId="2FF1A597">
      <w:pPr>
        <w:pStyle w:val="32"/>
        <w:spacing w:beforeAutospacing="0" w:afterAutospacing="0"/>
        <w:jc w:val="both"/>
        <w:rPr>
          <w:color w:val="auto"/>
        </w:rPr>
      </w:pPr>
      <w:r>
        <w:rPr>
          <w:color w:val="auto"/>
        </w:rPr>
        <w:t> </w:t>
      </w:r>
    </w:p>
    <w:p w14:paraId="47E1A2A8">
      <w:pPr>
        <w:pStyle w:val="32"/>
        <w:spacing w:beforeAutospacing="0" w:afterAutospacing="0"/>
        <w:jc w:val="center"/>
        <w:rPr>
          <w:color w:val="auto"/>
        </w:rPr>
      </w:pPr>
      <w:bookmarkStart w:id="199" w:name="_Hlt26955054"/>
      <w:r>
        <w:rPr>
          <w:rFonts w:hint="eastAsia" w:ascii="黑体" w:hAnsi="宋体" w:eastAsia="黑体" w:cs="黑体"/>
          <w:b/>
          <w:color w:val="auto"/>
          <w:sz w:val="32"/>
          <w:szCs w:val="32"/>
        </w:rPr>
        <w:t>十三、商务要求响应及偏离表（分包号：**）</w:t>
      </w:r>
    </w:p>
    <w:tbl>
      <w:tblPr>
        <w:tblStyle w:val="35"/>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0E5FE68F">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31F9EC">
            <w:pPr>
              <w:pStyle w:val="32"/>
              <w:spacing w:beforeAutospacing="0" w:afterAutospacing="0"/>
              <w:jc w:val="center"/>
              <w:rPr>
                <w:color w:val="auto"/>
              </w:rPr>
            </w:pPr>
            <w:bookmarkStart w:id="200" w:name="_Hlt26955056"/>
            <w:bookmarkStart w:id="201" w:name="_Hlt26671343"/>
            <w:bookmarkStart w:id="202" w:name="_Hlt26955064"/>
            <w:bookmarkStart w:id="203" w:name="_Hlt26580838"/>
            <w:bookmarkStart w:id="204" w:name="_Hlt26782999"/>
            <w:bookmarkStart w:id="205" w:name="_Hlt26609391"/>
            <w:bookmarkStart w:id="206" w:name="_Hlt24879081"/>
            <w:bookmarkStart w:id="207" w:name="_Hlt26671372"/>
            <w:r>
              <w:rPr>
                <w:rFonts w:hint="eastAsia" w:ascii="宋体" w:hAnsi="宋体" w:eastAsia="宋体" w:cs="宋体"/>
                <w:color w:val="auto"/>
              </w:rPr>
              <w:t>序号</w:t>
            </w:r>
            <w:bookmarkEnd w:id="200"/>
            <w:bookmarkEnd w:id="201"/>
            <w:bookmarkEnd w:id="202"/>
            <w:bookmarkEnd w:id="203"/>
            <w:bookmarkEnd w:id="204"/>
            <w:bookmarkEnd w:id="205"/>
            <w:bookmarkEnd w:id="206"/>
            <w:bookmarkEnd w:id="207"/>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4CCD00">
            <w:pPr>
              <w:pStyle w:val="32"/>
              <w:spacing w:beforeAutospacing="0" w:afterAutospacing="0"/>
              <w:jc w:val="center"/>
              <w:rPr>
                <w:color w:val="auto"/>
              </w:rPr>
            </w:pPr>
            <w:r>
              <w:rPr>
                <w:rFonts w:hint="eastAsia" w:ascii="宋体" w:hAnsi="宋体" w:eastAsia="宋体" w:cs="宋体"/>
                <w:color w:val="auto"/>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ED715A">
            <w:pPr>
              <w:pStyle w:val="32"/>
              <w:spacing w:beforeAutospacing="0" w:afterAutospacing="0"/>
              <w:jc w:val="center"/>
              <w:rPr>
                <w:color w:val="auto"/>
              </w:rPr>
            </w:pPr>
            <w:r>
              <w:rPr>
                <w:rFonts w:hint="eastAsia" w:ascii="宋体" w:hAnsi="宋体" w:eastAsia="宋体" w:cs="宋体"/>
                <w:color w:val="auto"/>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E6CC4C">
            <w:pPr>
              <w:pStyle w:val="32"/>
              <w:spacing w:beforeAutospacing="0" w:afterAutospacing="0"/>
              <w:jc w:val="center"/>
              <w:rPr>
                <w:color w:val="auto"/>
              </w:rPr>
            </w:pPr>
            <w:r>
              <w:rPr>
                <w:rFonts w:hint="eastAsia" w:ascii="宋体" w:hAnsi="宋体" w:eastAsia="宋体" w:cs="宋体"/>
                <w:color w:val="auto"/>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A9B93B">
            <w:pPr>
              <w:pStyle w:val="32"/>
              <w:spacing w:beforeAutospacing="0" w:afterAutospacing="0"/>
              <w:jc w:val="center"/>
              <w:rPr>
                <w:color w:val="auto"/>
              </w:rPr>
            </w:pPr>
            <w:r>
              <w:rPr>
                <w:rFonts w:hint="eastAsia" w:ascii="宋体" w:hAnsi="宋体" w:eastAsia="宋体" w:cs="宋体"/>
                <w:color w:val="auto"/>
              </w:rPr>
              <w:t>证明</w:t>
            </w:r>
          </w:p>
          <w:p w14:paraId="4F7B9338">
            <w:pPr>
              <w:pStyle w:val="32"/>
              <w:spacing w:beforeAutospacing="0" w:afterAutospacing="0"/>
              <w:jc w:val="center"/>
              <w:rPr>
                <w:color w:val="auto"/>
              </w:rPr>
            </w:pPr>
            <w:r>
              <w:rPr>
                <w:rFonts w:hint="eastAsia" w:ascii="宋体" w:hAnsi="宋体" w:eastAsia="宋体" w:cs="宋体"/>
                <w:color w:val="auto"/>
              </w:rPr>
              <w:t>材料</w:t>
            </w:r>
          </w:p>
        </w:tc>
      </w:tr>
      <w:tr w14:paraId="43D3651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8F0DA9">
            <w:pPr>
              <w:pStyle w:val="32"/>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6CBB46">
            <w:pPr>
              <w:pStyle w:val="32"/>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C8BB92">
            <w:pPr>
              <w:pStyle w:val="32"/>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0BCE38">
            <w:pPr>
              <w:pStyle w:val="32"/>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DAB10B">
            <w:pPr>
              <w:pStyle w:val="32"/>
              <w:spacing w:beforeAutospacing="0" w:afterAutospacing="0"/>
              <w:jc w:val="center"/>
              <w:rPr>
                <w:color w:val="auto"/>
              </w:rPr>
            </w:pPr>
            <w:r>
              <w:rPr>
                <w:color w:val="auto"/>
              </w:rPr>
              <w:t> </w:t>
            </w:r>
          </w:p>
        </w:tc>
      </w:tr>
      <w:tr w14:paraId="0EEF7E9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DD899C">
            <w:pPr>
              <w:pStyle w:val="32"/>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921CF4">
            <w:pPr>
              <w:pStyle w:val="32"/>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C77569">
            <w:pPr>
              <w:pStyle w:val="32"/>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CDCC69">
            <w:pPr>
              <w:pStyle w:val="32"/>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EA3EB5">
            <w:pPr>
              <w:pStyle w:val="32"/>
              <w:spacing w:beforeAutospacing="0" w:afterAutospacing="0"/>
              <w:jc w:val="center"/>
              <w:rPr>
                <w:color w:val="auto"/>
              </w:rPr>
            </w:pPr>
            <w:r>
              <w:rPr>
                <w:color w:val="auto"/>
              </w:rPr>
              <w:t> </w:t>
            </w:r>
          </w:p>
        </w:tc>
      </w:tr>
      <w:tr w14:paraId="1CB277D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70A5C2">
            <w:pPr>
              <w:pStyle w:val="32"/>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2D1FA4">
            <w:pPr>
              <w:pStyle w:val="32"/>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9B6FE8">
            <w:pPr>
              <w:pStyle w:val="32"/>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C60F39">
            <w:pPr>
              <w:pStyle w:val="32"/>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DBBAAF">
            <w:pPr>
              <w:pStyle w:val="32"/>
              <w:spacing w:beforeAutospacing="0" w:afterAutospacing="0"/>
              <w:jc w:val="center"/>
              <w:rPr>
                <w:color w:val="auto"/>
              </w:rPr>
            </w:pPr>
            <w:r>
              <w:rPr>
                <w:color w:val="auto"/>
              </w:rPr>
              <w:t> </w:t>
            </w:r>
          </w:p>
        </w:tc>
      </w:tr>
      <w:tr w14:paraId="57BF1D2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4283E2">
            <w:pPr>
              <w:pStyle w:val="32"/>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EF6B29">
            <w:pPr>
              <w:pStyle w:val="32"/>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14C530">
            <w:pPr>
              <w:pStyle w:val="32"/>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E93EB0">
            <w:pPr>
              <w:pStyle w:val="32"/>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68D91F">
            <w:pPr>
              <w:pStyle w:val="32"/>
              <w:spacing w:beforeAutospacing="0" w:afterAutospacing="0"/>
              <w:jc w:val="center"/>
              <w:rPr>
                <w:color w:val="auto"/>
              </w:rPr>
            </w:pPr>
            <w:r>
              <w:rPr>
                <w:color w:val="auto"/>
              </w:rPr>
              <w:t> </w:t>
            </w:r>
          </w:p>
        </w:tc>
      </w:tr>
      <w:tr w14:paraId="561AA91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9C6DC5">
            <w:pPr>
              <w:pStyle w:val="32"/>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ED9D15">
            <w:pPr>
              <w:pStyle w:val="32"/>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E82787">
            <w:pPr>
              <w:pStyle w:val="32"/>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02133E">
            <w:pPr>
              <w:pStyle w:val="32"/>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6D24CA">
            <w:pPr>
              <w:pStyle w:val="32"/>
              <w:spacing w:beforeAutospacing="0" w:afterAutospacing="0"/>
              <w:jc w:val="center"/>
              <w:rPr>
                <w:color w:val="auto"/>
              </w:rPr>
            </w:pPr>
            <w:r>
              <w:rPr>
                <w:color w:val="auto"/>
              </w:rPr>
              <w:t> </w:t>
            </w:r>
          </w:p>
        </w:tc>
      </w:tr>
      <w:tr w14:paraId="1CA5C18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5C7683">
            <w:pPr>
              <w:pStyle w:val="32"/>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D11893">
            <w:pPr>
              <w:pStyle w:val="32"/>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266A2E">
            <w:pPr>
              <w:pStyle w:val="32"/>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1531C8">
            <w:pPr>
              <w:pStyle w:val="32"/>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2B1453">
            <w:pPr>
              <w:pStyle w:val="32"/>
              <w:spacing w:beforeAutospacing="0" w:afterAutospacing="0"/>
              <w:jc w:val="center"/>
              <w:rPr>
                <w:color w:val="auto"/>
              </w:rPr>
            </w:pPr>
            <w:r>
              <w:rPr>
                <w:color w:val="auto"/>
              </w:rPr>
              <w:t> </w:t>
            </w:r>
          </w:p>
        </w:tc>
      </w:tr>
      <w:tr w14:paraId="53BE52A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37C66F">
            <w:pPr>
              <w:pStyle w:val="32"/>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690742">
            <w:pPr>
              <w:pStyle w:val="32"/>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AE89E8">
            <w:pPr>
              <w:pStyle w:val="32"/>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A85F08">
            <w:pPr>
              <w:pStyle w:val="32"/>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5EFA68">
            <w:pPr>
              <w:pStyle w:val="32"/>
              <w:spacing w:beforeAutospacing="0" w:afterAutospacing="0"/>
              <w:jc w:val="center"/>
              <w:rPr>
                <w:color w:val="auto"/>
              </w:rPr>
            </w:pPr>
            <w:r>
              <w:rPr>
                <w:color w:val="auto"/>
              </w:rPr>
              <w:t> </w:t>
            </w:r>
          </w:p>
        </w:tc>
      </w:tr>
      <w:tr w14:paraId="25E3BC6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848073">
            <w:pPr>
              <w:pStyle w:val="32"/>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347654">
            <w:pPr>
              <w:pStyle w:val="32"/>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7360A8">
            <w:pPr>
              <w:pStyle w:val="32"/>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79D59F">
            <w:pPr>
              <w:pStyle w:val="32"/>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89897B">
            <w:pPr>
              <w:pStyle w:val="32"/>
              <w:spacing w:beforeAutospacing="0" w:afterAutospacing="0"/>
              <w:jc w:val="center"/>
              <w:rPr>
                <w:color w:val="auto"/>
              </w:rPr>
            </w:pPr>
            <w:r>
              <w:rPr>
                <w:color w:val="auto"/>
              </w:rPr>
              <w:t> </w:t>
            </w:r>
          </w:p>
        </w:tc>
      </w:tr>
    </w:tbl>
    <w:p w14:paraId="4BD150F4">
      <w:pPr>
        <w:pStyle w:val="32"/>
        <w:spacing w:beforeAutospacing="0" w:afterAutospacing="0"/>
        <w:jc w:val="both"/>
        <w:rPr>
          <w:color w:val="auto"/>
        </w:rPr>
      </w:pPr>
      <w:r>
        <w:rPr>
          <w:rFonts w:hint="eastAsia" w:ascii="宋体" w:hAnsi="宋体" w:eastAsia="宋体" w:cs="宋体"/>
          <w:color w:val="auto"/>
        </w:rPr>
        <w:t>注： 行数不够，可自行添加。</w:t>
      </w:r>
    </w:p>
    <w:p w14:paraId="493F21DA">
      <w:pPr>
        <w:pStyle w:val="32"/>
        <w:spacing w:beforeAutospacing="0" w:afterAutospacing="0" w:line="480" w:lineRule="auto"/>
        <w:jc w:val="both"/>
        <w:rPr>
          <w:color w:val="auto"/>
        </w:rPr>
      </w:pPr>
      <w:r>
        <w:rPr>
          <w:color w:val="auto"/>
        </w:rPr>
        <w:t> </w:t>
      </w:r>
    </w:p>
    <w:p w14:paraId="1B991E0B">
      <w:pPr>
        <w:pStyle w:val="32"/>
        <w:spacing w:beforeAutospacing="0" w:afterAutospacing="0" w:line="480" w:lineRule="auto"/>
        <w:jc w:val="both"/>
        <w:rPr>
          <w:color w:val="auto"/>
        </w:rPr>
      </w:pPr>
      <w:r>
        <w:rPr>
          <w:color w:val="auto"/>
        </w:rPr>
        <w:t> </w:t>
      </w:r>
    </w:p>
    <w:p w14:paraId="5498681F">
      <w:pPr>
        <w:pStyle w:val="32"/>
        <w:spacing w:beforeAutospacing="0" w:afterAutospacing="0"/>
        <w:jc w:val="center"/>
        <w:rPr>
          <w:color w:val="auto"/>
        </w:rPr>
      </w:pPr>
      <w:bookmarkStart w:id="208" w:name="_Hlt26609389"/>
      <w:bookmarkStart w:id="209" w:name="_格式2__法定代表人授权书"/>
      <w:bookmarkStart w:id="210" w:name="_Hlt26671374"/>
      <w:bookmarkStart w:id="211" w:name="_Toc462564146"/>
      <w:bookmarkStart w:id="212" w:name="_Hlt26955066"/>
      <w:r>
        <w:rPr>
          <w:color w:val="auto"/>
        </w:rPr>
        <w:t> </w:t>
      </w:r>
    </w:p>
    <w:p w14:paraId="250281F5">
      <w:pPr>
        <w:pStyle w:val="32"/>
        <w:spacing w:beforeAutospacing="0" w:afterAutospacing="0"/>
        <w:jc w:val="both"/>
        <w:rPr>
          <w:color w:val="auto"/>
        </w:rPr>
      </w:pPr>
      <w:r>
        <w:rPr>
          <w:color w:val="auto"/>
        </w:rPr>
        <w:t> </w:t>
      </w:r>
    </w:p>
    <w:p w14:paraId="65025B69">
      <w:pPr>
        <w:pStyle w:val="32"/>
        <w:spacing w:beforeAutospacing="0" w:afterAutospacing="0"/>
        <w:jc w:val="both"/>
        <w:rPr>
          <w:color w:val="auto"/>
        </w:rPr>
      </w:pPr>
      <w:r>
        <w:rPr>
          <w:color w:val="auto"/>
        </w:rPr>
        <w:t> </w:t>
      </w:r>
    </w:p>
    <w:p w14:paraId="636617F7">
      <w:pPr>
        <w:pStyle w:val="32"/>
        <w:spacing w:beforeAutospacing="0" w:afterAutospacing="0"/>
        <w:jc w:val="both"/>
        <w:rPr>
          <w:color w:val="auto"/>
        </w:rPr>
      </w:pPr>
    </w:p>
    <w:p w14:paraId="2DA1BE94">
      <w:pPr>
        <w:pStyle w:val="32"/>
        <w:spacing w:beforeAutospacing="0" w:afterAutospacing="0"/>
        <w:jc w:val="both"/>
        <w:rPr>
          <w:color w:val="auto"/>
        </w:rPr>
      </w:pPr>
    </w:p>
    <w:p w14:paraId="50475816">
      <w:pPr>
        <w:pStyle w:val="32"/>
        <w:spacing w:beforeAutospacing="0" w:afterAutospacing="0"/>
        <w:jc w:val="both"/>
        <w:rPr>
          <w:color w:val="auto"/>
        </w:rPr>
      </w:pPr>
    </w:p>
    <w:p w14:paraId="71628905">
      <w:pPr>
        <w:pStyle w:val="32"/>
        <w:spacing w:beforeAutospacing="0" w:afterAutospacing="0"/>
        <w:jc w:val="both"/>
        <w:rPr>
          <w:color w:val="auto"/>
        </w:rPr>
      </w:pPr>
    </w:p>
    <w:p w14:paraId="48B2E25B">
      <w:pPr>
        <w:pStyle w:val="32"/>
        <w:spacing w:beforeAutospacing="0" w:afterAutospacing="0"/>
        <w:jc w:val="both"/>
        <w:rPr>
          <w:color w:val="auto"/>
        </w:rPr>
      </w:pPr>
    </w:p>
    <w:p w14:paraId="600970B9">
      <w:pPr>
        <w:pStyle w:val="32"/>
        <w:spacing w:beforeAutospacing="0" w:afterAutospacing="0"/>
        <w:jc w:val="both"/>
        <w:rPr>
          <w:color w:val="auto"/>
        </w:rPr>
      </w:pPr>
    </w:p>
    <w:p w14:paraId="0860DBDF">
      <w:pPr>
        <w:pStyle w:val="32"/>
        <w:spacing w:beforeAutospacing="0" w:afterAutospacing="0"/>
        <w:jc w:val="both"/>
        <w:rPr>
          <w:color w:val="auto"/>
        </w:rPr>
      </w:pPr>
    </w:p>
    <w:p w14:paraId="53203C2A">
      <w:pPr>
        <w:pStyle w:val="32"/>
        <w:spacing w:beforeAutospacing="0" w:afterAutospacing="0"/>
        <w:jc w:val="both"/>
        <w:rPr>
          <w:color w:val="auto"/>
        </w:rPr>
      </w:pPr>
    </w:p>
    <w:p w14:paraId="2B26FE9D">
      <w:pPr>
        <w:pStyle w:val="32"/>
        <w:spacing w:beforeAutospacing="0" w:afterAutospacing="0"/>
        <w:jc w:val="both"/>
        <w:rPr>
          <w:color w:val="auto"/>
        </w:rPr>
      </w:pPr>
    </w:p>
    <w:p w14:paraId="11BBEBD0">
      <w:pPr>
        <w:pStyle w:val="32"/>
        <w:spacing w:beforeAutospacing="0" w:afterAutospacing="0"/>
        <w:jc w:val="both"/>
        <w:rPr>
          <w:color w:val="auto"/>
        </w:rPr>
      </w:pPr>
    </w:p>
    <w:p w14:paraId="7A8B7407">
      <w:pPr>
        <w:pStyle w:val="32"/>
        <w:spacing w:beforeAutospacing="0" w:afterAutospacing="0"/>
        <w:jc w:val="both"/>
        <w:rPr>
          <w:color w:val="auto"/>
        </w:rPr>
      </w:pPr>
    </w:p>
    <w:p w14:paraId="44961B68">
      <w:pPr>
        <w:pStyle w:val="32"/>
        <w:spacing w:beforeAutospacing="0" w:afterAutospacing="0"/>
        <w:jc w:val="both"/>
        <w:rPr>
          <w:color w:val="auto"/>
        </w:rPr>
      </w:pPr>
    </w:p>
    <w:p w14:paraId="38EA2499">
      <w:pPr>
        <w:pStyle w:val="32"/>
        <w:spacing w:beforeAutospacing="0" w:afterAutospacing="0"/>
        <w:jc w:val="both"/>
        <w:rPr>
          <w:color w:val="auto"/>
        </w:rPr>
      </w:pPr>
    </w:p>
    <w:p w14:paraId="057442DB">
      <w:pPr>
        <w:pStyle w:val="32"/>
        <w:spacing w:beforeAutospacing="0" w:afterAutospacing="0"/>
        <w:jc w:val="both"/>
        <w:rPr>
          <w:color w:val="auto"/>
        </w:rPr>
      </w:pPr>
    </w:p>
    <w:p w14:paraId="25C6C956">
      <w:pPr>
        <w:pStyle w:val="32"/>
        <w:spacing w:beforeAutospacing="0" w:afterAutospacing="0"/>
        <w:jc w:val="both"/>
        <w:rPr>
          <w:color w:val="auto"/>
        </w:rPr>
      </w:pPr>
    </w:p>
    <w:p w14:paraId="1253AE87">
      <w:pPr>
        <w:pStyle w:val="32"/>
        <w:spacing w:beforeAutospacing="0" w:afterAutospacing="0"/>
        <w:jc w:val="both"/>
        <w:rPr>
          <w:color w:val="auto"/>
        </w:rPr>
      </w:pPr>
    </w:p>
    <w:p w14:paraId="45189115">
      <w:pPr>
        <w:pStyle w:val="32"/>
        <w:spacing w:beforeAutospacing="0" w:afterAutospacing="0"/>
        <w:jc w:val="both"/>
        <w:rPr>
          <w:color w:val="auto"/>
        </w:rPr>
      </w:pPr>
    </w:p>
    <w:p w14:paraId="41683718">
      <w:pPr>
        <w:pStyle w:val="32"/>
        <w:spacing w:beforeAutospacing="0" w:afterAutospacing="0"/>
        <w:jc w:val="both"/>
        <w:rPr>
          <w:color w:val="auto"/>
        </w:rPr>
      </w:pPr>
    </w:p>
    <w:p w14:paraId="0C171561">
      <w:pPr>
        <w:pStyle w:val="32"/>
        <w:spacing w:beforeAutospacing="0" w:afterAutospacing="0"/>
        <w:jc w:val="both"/>
        <w:rPr>
          <w:color w:val="auto"/>
        </w:rPr>
      </w:pPr>
    </w:p>
    <w:p w14:paraId="090406BA">
      <w:pPr>
        <w:pStyle w:val="32"/>
        <w:spacing w:beforeAutospacing="0" w:afterAutospacing="0"/>
        <w:jc w:val="both"/>
        <w:rPr>
          <w:color w:val="auto"/>
        </w:rPr>
      </w:pPr>
      <w:r>
        <w:rPr>
          <w:rFonts w:hint="eastAsia" w:ascii="黑体" w:hAnsi="宋体" w:eastAsia="黑体" w:cs="黑体"/>
          <w:b/>
          <w:i/>
          <w:color w:val="auto"/>
          <w:sz w:val="32"/>
          <w:szCs w:val="32"/>
          <w:u w:val="single"/>
        </w:rPr>
        <w:t>十四、开标一览表</w:t>
      </w:r>
    </w:p>
    <w:p w14:paraId="4882CC05">
      <w:pPr>
        <w:pStyle w:val="32"/>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项目编号：JSZC-320900-YCZH-G2025-001</w:t>
      </w:r>
      <w:r>
        <w:rPr>
          <w:rFonts w:hint="eastAsia" w:ascii="宋体" w:hAnsi="宋体" w:eastAsia="宋体" w:cs="宋体"/>
          <w:color w:val="auto"/>
          <w:sz w:val="21"/>
          <w:szCs w:val="21"/>
          <w:lang w:val="en-US" w:eastAsia="zh-CN"/>
        </w:rPr>
        <w:t>4</w:t>
      </w:r>
    </w:p>
    <w:p w14:paraId="3F8F254A">
      <w:pPr>
        <w:pStyle w:val="32"/>
        <w:rPr>
          <w:rFonts w:ascii="宋体" w:hAnsi="宋体" w:eastAsia="宋体" w:cs="宋体"/>
          <w:color w:val="auto"/>
          <w:sz w:val="21"/>
          <w:szCs w:val="21"/>
        </w:rPr>
      </w:pPr>
      <w:r>
        <w:rPr>
          <w:rFonts w:hint="eastAsia" w:ascii="宋体" w:hAnsi="宋体" w:eastAsia="宋体" w:cs="宋体"/>
          <w:color w:val="auto"/>
          <w:sz w:val="21"/>
          <w:szCs w:val="21"/>
        </w:rPr>
        <w:t>货币单位：人民币元</w:t>
      </w:r>
    </w:p>
    <w:tbl>
      <w:tblPr>
        <w:tblStyle w:val="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40"/>
        <w:gridCol w:w="2841"/>
        <w:gridCol w:w="2841"/>
      </w:tblGrid>
      <w:tr w14:paraId="35A80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2840" w:type="dxa"/>
            <w:noWrap w:val="0"/>
            <w:vAlign w:val="center"/>
          </w:tcPr>
          <w:p w14:paraId="699D2898">
            <w:pPr>
              <w:pStyle w:val="32"/>
              <w:ind w:firstLine="960"/>
              <w:rPr>
                <w:rFonts w:ascii="宋体" w:hAnsi="宋体" w:eastAsia="宋体" w:cs="宋体"/>
                <w:color w:val="auto"/>
                <w:sz w:val="21"/>
                <w:szCs w:val="21"/>
              </w:rPr>
            </w:pPr>
            <w:r>
              <w:rPr>
                <w:rFonts w:hint="eastAsia" w:ascii="宋体" w:hAnsi="宋体" w:eastAsia="宋体" w:cs="宋体"/>
                <w:color w:val="auto"/>
                <w:sz w:val="21"/>
                <w:szCs w:val="21"/>
              </w:rPr>
              <w:t>项目名称</w:t>
            </w:r>
          </w:p>
        </w:tc>
        <w:tc>
          <w:tcPr>
            <w:tcW w:w="2841" w:type="dxa"/>
            <w:noWrap w:val="0"/>
            <w:vAlign w:val="center"/>
          </w:tcPr>
          <w:p w14:paraId="22966697">
            <w:pPr>
              <w:pStyle w:val="32"/>
              <w:ind w:firstLine="720"/>
              <w:rPr>
                <w:rFonts w:ascii="宋体" w:hAnsi="宋体" w:eastAsia="宋体" w:cs="宋体"/>
                <w:color w:val="auto"/>
                <w:sz w:val="21"/>
                <w:szCs w:val="21"/>
              </w:rPr>
            </w:pPr>
            <w:r>
              <w:rPr>
                <w:rFonts w:hint="eastAsia" w:ascii="宋体" w:hAnsi="宋体" w:eastAsia="宋体" w:cs="宋体"/>
                <w:color w:val="auto"/>
                <w:sz w:val="21"/>
                <w:szCs w:val="21"/>
              </w:rPr>
              <w:t>项目内容</w:t>
            </w:r>
          </w:p>
        </w:tc>
        <w:tc>
          <w:tcPr>
            <w:tcW w:w="2841" w:type="dxa"/>
            <w:noWrap w:val="0"/>
            <w:vAlign w:val="center"/>
          </w:tcPr>
          <w:p w14:paraId="7AA08E22">
            <w:pPr>
              <w:pStyle w:val="32"/>
              <w:ind w:firstLine="720"/>
              <w:rPr>
                <w:rFonts w:ascii="宋体" w:hAnsi="宋体" w:eastAsia="宋体" w:cs="宋体"/>
                <w:color w:val="auto"/>
                <w:sz w:val="21"/>
                <w:szCs w:val="21"/>
              </w:rPr>
            </w:pPr>
            <w:r>
              <w:rPr>
                <w:rFonts w:hint="eastAsia" w:ascii="宋体" w:hAnsi="宋体" w:eastAsia="宋体" w:cs="宋体"/>
                <w:color w:val="auto"/>
                <w:sz w:val="21"/>
                <w:szCs w:val="21"/>
              </w:rPr>
              <w:t>总价（小写）</w:t>
            </w:r>
          </w:p>
        </w:tc>
      </w:tr>
      <w:tr w14:paraId="55CB4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trPr>
        <w:tc>
          <w:tcPr>
            <w:tcW w:w="2840" w:type="dxa"/>
            <w:noWrap w:val="0"/>
            <w:vAlign w:val="center"/>
          </w:tcPr>
          <w:p w14:paraId="4249EA8E">
            <w:pPr>
              <w:pStyle w:val="32"/>
              <w:widowControl/>
              <w:spacing w:beforeAutospacing="0" w:afterAutospacing="0"/>
              <w:rPr>
                <w:rFonts w:ascii="宋体" w:hAnsi="宋体" w:eastAsia="宋体" w:cs="宋体"/>
                <w:color w:val="auto"/>
                <w:sz w:val="21"/>
                <w:szCs w:val="21"/>
              </w:rPr>
            </w:pPr>
            <w:r>
              <w:rPr>
                <w:rFonts w:hint="eastAsia" w:ascii="宋体" w:hAnsi="宋体" w:eastAsia="宋体" w:cs="宋体"/>
                <w:color w:val="auto"/>
                <w:sz w:val="21"/>
                <w:szCs w:val="21"/>
              </w:rPr>
              <w:t>盐城市公安局</w:t>
            </w:r>
            <w:r>
              <w:rPr>
                <w:rFonts w:hint="eastAsia" w:ascii="宋体" w:hAnsi="宋体" w:eastAsia="宋体" w:cs="宋体"/>
                <w:color w:val="auto"/>
                <w:sz w:val="21"/>
                <w:szCs w:val="21"/>
                <w:lang w:eastAsia="zh-CN"/>
              </w:rPr>
              <w:t>侦查研判类</w:t>
            </w:r>
            <w:r>
              <w:rPr>
                <w:rFonts w:hint="eastAsia" w:ascii="宋体" w:hAnsi="宋体" w:eastAsia="宋体" w:cs="宋体"/>
                <w:color w:val="auto"/>
                <w:sz w:val="21"/>
                <w:szCs w:val="21"/>
              </w:rPr>
              <w:t>互联网数据支撑服务项目</w:t>
            </w:r>
          </w:p>
        </w:tc>
        <w:tc>
          <w:tcPr>
            <w:tcW w:w="2841" w:type="dxa"/>
            <w:noWrap w:val="0"/>
            <w:vAlign w:val="center"/>
          </w:tcPr>
          <w:p w14:paraId="1EF88CAF">
            <w:pPr>
              <w:pStyle w:val="32"/>
              <w:ind w:firstLine="480"/>
              <w:rPr>
                <w:rFonts w:ascii="宋体" w:hAnsi="宋体" w:eastAsia="宋体" w:cs="宋体"/>
                <w:color w:val="auto"/>
                <w:sz w:val="21"/>
                <w:szCs w:val="21"/>
              </w:rPr>
            </w:pPr>
            <w:r>
              <w:rPr>
                <w:rFonts w:hint="eastAsia" w:ascii="宋体" w:hAnsi="宋体" w:eastAsia="宋体" w:cs="宋体"/>
                <w:color w:val="auto"/>
                <w:sz w:val="21"/>
                <w:szCs w:val="21"/>
              </w:rPr>
              <w:t>详见投标文件</w:t>
            </w:r>
          </w:p>
        </w:tc>
        <w:tc>
          <w:tcPr>
            <w:tcW w:w="2841" w:type="dxa"/>
            <w:noWrap w:val="0"/>
            <w:vAlign w:val="center"/>
          </w:tcPr>
          <w:p w14:paraId="11CED000">
            <w:pPr>
              <w:pStyle w:val="32"/>
              <w:rPr>
                <w:rFonts w:ascii="宋体" w:hAnsi="宋体" w:eastAsia="宋体" w:cs="宋体"/>
                <w:color w:val="auto"/>
                <w:sz w:val="21"/>
                <w:szCs w:val="21"/>
              </w:rPr>
            </w:pPr>
            <w:r>
              <w:rPr>
                <w:rFonts w:hint="eastAsia" w:ascii="宋体" w:hAnsi="宋体" w:eastAsia="宋体" w:cs="宋体"/>
                <w:color w:val="auto"/>
                <w:sz w:val="21"/>
                <w:szCs w:val="21"/>
              </w:rPr>
              <w:t xml:space="preserve">                元</w:t>
            </w:r>
          </w:p>
        </w:tc>
      </w:tr>
      <w:tr w14:paraId="27B4B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rPr>
        <w:tc>
          <w:tcPr>
            <w:tcW w:w="2840" w:type="dxa"/>
            <w:noWrap w:val="0"/>
            <w:vAlign w:val="center"/>
          </w:tcPr>
          <w:p w14:paraId="321E1931">
            <w:pPr>
              <w:pStyle w:val="32"/>
              <w:jc w:val="center"/>
              <w:rPr>
                <w:rFonts w:ascii="宋体" w:hAnsi="宋体" w:eastAsia="宋体" w:cs="宋体"/>
                <w:color w:val="auto"/>
                <w:sz w:val="21"/>
                <w:szCs w:val="21"/>
              </w:rPr>
            </w:pPr>
            <w:r>
              <w:rPr>
                <w:rFonts w:hint="eastAsia" w:ascii="宋体" w:hAnsi="宋体" w:eastAsia="宋体" w:cs="宋体"/>
                <w:color w:val="auto"/>
                <w:sz w:val="21"/>
                <w:szCs w:val="21"/>
              </w:rPr>
              <w:t>总价（大写）：</w:t>
            </w:r>
          </w:p>
        </w:tc>
        <w:tc>
          <w:tcPr>
            <w:tcW w:w="5682" w:type="dxa"/>
            <w:gridSpan w:val="2"/>
            <w:noWrap w:val="0"/>
            <w:vAlign w:val="center"/>
          </w:tcPr>
          <w:p w14:paraId="237A43CC">
            <w:pPr>
              <w:pStyle w:val="32"/>
              <w:jc w:val="center"/>
              <w:rPr>
                <w:rFonts w:ascii="宋体" w:hAnsi="宋体" w:eastAsia="宋体" w:cs="宋体"/>
                <w:color w:val="auto"/>
                <w:sz w:val="21"/>
                <w:szCs w:val="21"/>
              </w:rPr>
            </w:pPr>
            <w:r>
              <w:rPr>
                <w:rStyle w:val="198"/>
                <w:rFonts w:hint="eastAsia" w:ascii="宋体" w:hAnsi="宋体" w:eastAsia="宋体" w:cs="宋体"/>
                <w:color w:val="auto"/>
                <w:sz w:val="21"/>
                <w:szCs w:val="21"/>
              </w:rPr>
              <w:t>金额大写</w:t>
            </w:r>
          </w:p>
        </w:tc>
      </w:tr>
    </w:tbl>
    <w:p w14:paraId="5C61AA1D">
      <w:pPr>
        <w:pStyle w:val="32"/>
        <w:rPr>
          <w:rFonts w:ascii="宋体" w:hAnsi="宋体" w:eastAsia="宋体" w:cs="宋体"/>
          <w:color w:val="auto"/>
          <w:sz w:val="21"/>
          <w:szCs w:val="21"/>
        </w:rPr>
      </w:pPr>
    </w:p>
    <w:p w14:paraId="0F411BC0">
      <w:pPr>
        <w:pStyle w:val="32"/>
        <w:rPr>
          <w:rFonts w:ascii="宋体" w:hAnsi="宋体" w:eastAsia="宋体" w:cs="宋体"/>
          <w:color w:val="auto"/>
          <w:sz w:val="21"/>
          <w:szCs w:val="21"/>
        </w:rPr>
      </w:pPr>
      <w:r>
        <w:rPr>
          <w:rFonts w:hint="eastAsia" w:ascii="宋体" w:hAnsi="宋体" w:eastAsia="宋体" w:cs="宋体"/>
          <w:color w:val="auto"/>
          <w:sz w:val="21"/>
          <w:szCs w:val="21"/>
        </w:rPr>
        <w:t xml:space="preserve">投标人公章：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（电子签章）</w:t>
      </w:r>
    </w:p>
    <w:p w14:paraId="50B11892">
      <w:pPr>
        <w:widowControl/>
        <w:spacing w:before="50" w:after="50"/>
        <w:jc w:val="center"/>
        <w:rPr>
          <w:color w:val="auto"/>
        </w:rPr>
      </w:pPr>
    </w:p>
    <w:p w14:paraId="0231D53C">
      <w:pPr>
        <w:widowControl/>
        <w:spacing w:before="50" w:after="50"/>
        <w:jc w:val="center"/>
        <w:rPr>
          <w:color w:val="auto"/>
        </w:rPr>
      </w:pPr>
    </w:p>
    <w:p w14:paraId="67CD82CB">
      <w:pPr>
        <w:widowControl/>
        <w:spacing w:before="50" w:after="50"/>
        <w:jc w:val="center"/>
        <w:rPr>
          <w:color w:val="auto"/>
        </w:rPr>
      </w:pPr>
    </w:p>
    <w:p w14:paraId="25115AFE">
      <w:pPr>
        <w:pStyle w:val="189"/>
        <w:rPr>
          <w:color w:val="auto"/>
        </w:rPr>
      </w:pPr>
    </w:p>
    <w:p w14:paraId="53DD2043">
      <w:pPr>
        <w:pStyle w:val="189"/>
        <w:rPr>
          <w:color w:val="auto"/>
        </w:rPr>
      </w:pPr>
    </w:p>
    <w:p w14:paraId="4EAF7B5F">
      <w:pPr>
        <w:pStyle w:val="189"/>
        <w:rPr>
          <w:color w:val="auto"/>
        </w:rPr>
      </w:pPr>
    </w:p>
    <w:p w14:paraId="108F19E4">
      <w:pPr>
        <w:widowControl/>
        <w:spacing w:before="50" w:after="50"/>
        <w:jc w:val="center"/>
        <w:rPr>
          <w:color w:val="auto"/>
        </w:rPr>
      </w:pPr>
    </w:p>
    <w:p w14:paraId="4B1B27AF">
      <w:pPr>
        <w:widowControl/>
        <w:spacing w:before="50" w:after="50"/>
        <w:jc w:val="center"/>
        <w:rPr>
          <w:color w:val="auto"/>
        </w:rPr>
      </w:pPr>
    </w:p>
    <w:p w14:paraId="2CDD84FA">
      <w:pPr>
        <w:widowControl/>
        <w:spacing w:before="50" w:after="50"/>
        <w:jc w:val="center"/>
        <w:rPr>
          <w:color w:val="auto"/>
        </w:rPr>
      </w:pPr>
    </w:p>
    <w:p w14:paraId="5685DFC3">
      <w:pPr>
        <w:widowControl/>
        <w:spacing w:before="50" w:after="50"/>
        <w:jc w:val="center"/>
        <w:rPr>
          <w:color w:val="auto"/>
        </w:rPr>
      </w:pPr>
    </w:p>
    <w:p w14:paraId="5A79230A">
      <w:pPr>
        <w:widowControl/>
        <w:spacing w:before="50" w:after="50"/>
        <w:jc w:val="center"/>
        <w:rPr>
          <w:color w:val="auto"/>
        </w:rPr>
      </w:pPr>
    </w:p>
    <w:p w14:paraId="49A7AB5A">
      <w:pPr>
        <w:widowControl/>
        <w:spacing w:before="50" w:after="50"/>
        <w:jc w:val="center"/>
        <w:rPr>
          <w:color w:val="auto"/>
        </w:rPr>
      </w:pPr>
    </w:p>
    <w:p w14:paraId="599E5FDF">
      <w:pPr>
        <w:widowControl/>
        <w:spacing w:before="50" w:after="50"/>
        <w:jc w:val="center"/>
        <w:rPr>
          <w:color w:val="auto"/>
        </w:rPr>
      </w:pPr>
    </w:p>
    <w:p w14:paraId="78E108BF">
      <w:pPr>
        <w:widowControl/>
        <w:spacing w:before="50" w:after="50"/>
        <w:jc w:val="center"/>
        <w:rPr>
          <w:color w:val="auto"/>
        </w:rPr>
      </w:pPr>
    </w:p>
    <w:p w14:paraId="497651AC">
      <w:pPr>
        <w:widowControl/>
        <w:spacing w:before="50" w:after="50"/>
        <w:jc w:val="center"/>
        <w:rPr>
          <w:color w:val="auto"/>
        </w:rPr>
      </w:pPr>
    </w:p>
    <w:p w14:paraId="0BF384A7">
      <w:pPr>
        <w:widowControl/>
        <w:spacing w:before="50" w:after="50"/>
        <w:jc w:val="center"/>
        <w:rPr>
          <w:color w:val="auto"/>
        </w:rPr>
      </w:pPr>
    </w:p>
    <w:p w14:paraId="4CABBF0E">
      <w:pPr>
        <w:widowControl/>
        <w:spacing w:before="50" w:after="50"/>
        <w:jc w:val="center"/>
        <w:rPr>
          <w:color w:val="auto"/>
        </w:rPr>
      </w:pPr>
    </w:p>
    <w:p w14:paraId="00A840BC">
      <w:pPr>
        <w:widowControl/>
        <w:spacing w:before="50" w:after="50"/>
        <w:jc w:val="center"/>
        <w:rPr>
          <w:rFonts w:ascii="宋体" w:hAnsi="宋体" w:eastAsia="宋体" w:cs="宋体"/>
          <w:b/>
          <w:bCs/>
          <w:color w:val="auto"/>
          <w:sz w:val="32"/>
          <w:szCs w:val="32"/>
        </w:rPr>
      </w:pPr>
    </w:p>
    <w:p w14:paraId="62570E61">
      <w:pPr>
        <w:widowControl/>
        <w:spacing w:before="50" w:after="50"/>
        <w:jc w:val="center"/>
        <w:rPr>
          <w:rFonts w:ascii="宋体" w:hAnsi="宋体" w:eastAsia="宋体" w:cs="宋体"/>
          <w:b/>
          <w:bCs/>
          <w:color w:val="auto"/>
          <w:sz w:val="32"/>
          <w:szCs w:val="32"/>
        </w:rPr>
      </w:pPr>
    </w:p>
    <w:p w14:paraId="70035C73">
      <w:pPr>
        <w:rPr>
          <w:rFonts w:ascii="宋体" w:hAnsi="宋体" w:eastAsia="宋体" w:cs="宋体"/>
          <w:b/>
          <w:bCs/>
          <w:color w:val="auto"/>
          <w:sz w:val="32"/>
          <w:szCs w:val="32"/>
        </w:rPr>
      </w:pPr>
      <w:r>
        <w:rPr>
          <w:rFonts w:hint="eastAsia" w:ascii="宋体" w:hAnsi="宋体" w:eastAsia="宋体" w:cs="宋体"/>
          <w:b/>
          <w:bCs/>
          <w:color w:val="auto"/>
          <w:sz w:val="32"/>
          <w:szCs w:val="32"/>
        </w:rPr>
        <w:br w:type="page" w:clear="all"/>
      </w:r>
    </w:p>
    <w:p w14:paraId="7644143B">
      <w:pPr>
        <w:widowControl/>
        <w:spacing w:before="50" w:after="50"/>
        <w:jc w:val="center"/>
        <w:rPr>
          <w:rFonts w:ascii="宋体" w:hAnsi="宋体" w:eastAsia="宋体" w:cs="宋体"/>
          <w:b/>
          <w:bCs/>
          <w:color w:val="auto"/>
          <w:sz w:val="24"/>
        </w:rPr>
      </w:pPr>
      <w:r>
        <w:rPr>
          <w:rFonts w:hint="eastAsia" w:ascii="宋体" w:hAnsi="宋体" w:eastAsia="宋体" w:cs="宋体"/>
          <w:b/>
          <w:bCs/>
          <w:color w:val="auto"/>
          <w:sz w:val="32"/>
          <w:szCs w:val="32"/>
        </w:rPr>
        <w:t>十五、技术方案、服务承诺、培训承诺等</w:t>
      </w:r>
    </w:p>
    <w:p w14:paraId="34182561">
      <w:pPr>
        <w:pStyle w:val="32"/>
        <w:tabs>
          <w:tab w:val="left" w:pos="2160"/>
        </w:tabs>
        <w:spacing w:beforeAutospacing="0" w:afterAutospacing="0"/>
        <w:jc w:val="both"/>
        <w:rPr>
          <w:color w:val="auto"/>
        </w:rPr>
      </w:pPr>
    </w:p>
    <w:p w14:paraId="7AFC3721">
      <w:pPr>
        <w:widowControl/>
        <w:spacing w:line="499" w:lineRule="atLeast"/>
        <w:ind w:firstLine="1600"/>
        <w:rPr>
          <w:rFonts w:ascii="宋体" w:hAnsi="宋体" w:eastAsia="宋体" w:cs="宋体"/>
          <w:color w:val="auto"/>
          <w:sz w:val="32"/>
          <w:szCs w:val="32"/>
        </w:rPr>
      </w:pPr>
    </w:p>
    <w:p w14:paraId="4FFBD6B5">
      <w:pPr>
        <w:widowControl/>
        <w:spacing w:line="499" w:lineRule="atLeast"/>
        <w:ind w:firstLine="1600"/>
        <w:rPr>
          <w:rFonts w:ascii="宋体" w:hAnsi="宋体" w:eastAsia="宋体" w:cs="宋体"/>
          <w:color w:val="auto"/>
          <w:sz w:val="32"/>
          <w:szCs w:val="32"/>
        </w:rPr>
      </w:pPr>
    </w:p>
    <w:p w14:paraId="0570E9A4">
      <w:pPr>
        <w:widowControl/>
        <w:spacing w:line="499" w:lineRule="atLeast"/>
        <w:ind w:firstLine="1600"/>
        <w:rPr>
          <w:rFonts w:ascii="宋体" w:hAnsi="宋体" w:eastAsia="宋体" w:cs="宋体"/>
          <w:color w:val="auto"/>
          <w:sz w:val="32"/>
          <w:szCs w:val="32"/>
        </w:rPr>
      </w:pPr>
    </w:p>
    <w:p w14:paraId="7CD95E17">
      <w:pPr>
        <w:widowControl/>
        <w:spacing w:line="499" w:lineRule="atLeast"/>
        <w:ind w:firstLine="1600"/>
        <w:rPr>
          <w:rFonts w:ascii="宋体" w:hAnsi="宋体" w:eastAsia="宋体" w:cs="宋体"/>
          <w:color w:val="auto"/>
          <w:sz w:val="32"/>
          <w:szCs w:val="32"/>
        </w:rPr>
      </w:pPr>
    </w:p>
    <w:p w14:paraId="667F7302">
      <w:pPr>
        <w:widowControl/>
        <w:spacing w:line="499" w:lineRule="atLeast"/>
        <w:ind w:firstLine="1600"/>
        <w:rPr>
          <w:rFonts w:ascii="宋体" w:hAnsi="宋体" w:eastAsia="宋体" w:cs="宋体"/>
          <w:color w:val="auto"/>
          <w:sz w:val="32"/>
          <w:szCs w:val="32"/>
        </w:rPr>
      </w:pPr>
    </w:p>
    <w:p w14:paraId="358CDF57">
      <w:pPr>
        <w:widowControl/>
        <w:spacing w:line="499" w:lineRule="atLeast"/>
        <w:ind w:firstLine="1600"/>
        <w:rPr>
          <w:rFonts w:ascii="宋体" w:hAnsi="宋体" w:eastAsia="宋体" w:cs="宋体"/>
          <w:color w:val="auto"/>
          <w:sz w:val="32"/>
          <w:szCs w:val="32"/>
        </w:rPr>
      </w:pPr>
    </w:p>
    <w:p w14:paraId="69EC8EB6">
      <w:pPr>
        <w:widowControl/>
        <w:spacing w:line="499" w:lineRule="atLeast"/>
        <w:ind w:firstLine="1600"/>
        <w:rPr>
          <w:rFonts w:ascii="宋体" w:hAnsi="宋体" w:eastAsia="宋体" w:cs="宋体"/>
          <w:color w:val="auto"/>
          <w:sz w:val="32"/>
          <w:szCs w:val="32"/>
        </w:rPr>
      </w:pPr>
    </w:p>
    <w:p w14:paraId="7F5C941E">
      <w:pPr>
        <w:widowControl/>
        <w:spacing w:line="499" w:lineRule="atLeast"/>
        <w:ind w:firstLine="1600"/>
        <w:rPr>
          <w:rFonts w:ascii="宋体" w:hAnsi="宋体" w:eastAsia="宋体" w:cs="宋体"/>
          <w:color w:val="auto"/>
          <w:sz w:val="32"/>
          <w:szCs w:val="32"/>
        </w:rPr>
      </w:pPr>
    </w:p>
    <w:p w14:paraId="173CB023">
      <w:pPr>
        <w:widowControl/>
        <w:spacing w:line="499" w:lineRule="atLeast"/>
        <w:ind w:firstLine="1600"/>
        <w:rPr>
          <w:rFonts w:ascii="宋体" w:hAnsi="宋体" w:eastAsia="宋体" w:cs="宋体"/>
          <w:color w:val="auto"/>
          <w:sz w:val="32"/>
          <w:szCs w:val="32"/>
        </w:rPr>
      </w:pPr>
    </w:p>
    <w:p w14:paraId="1F37DCF9">
      <w:pPr>
        <w:widowControl/>
        <w:spacing w:line="499" w:lineRule="atLeast"/>
        <w:ind w:firstLine="1600"/>
        <w:rPr>
          <w:rFonts w:ascii="宋体" w:hAnsi="宋体" w:eastAsia="宋体" w:cs="宋体"/>
          <w:color w:val="auto"/>
          <w:sz w:val="32"/>
          <w:szCs w:val="32"/>
        </w:rPr>
      </w:pPr>
    </w:p>
    <w:p w14:paraId="17357536">
      <w:pPr>
        <w:widowControl/>
        <w:spacing w:line="499" w:lineRule="atLeast"/>
        <w:ind w:firstLine="1600"/>
        <w:rPr>
          <w:rFonts w:ascii="宋体" w:hAnsi="宋体" w:eastAsia="宋体" w:cs="宋体"/>
          <w:color w:val="auto"/>
          <w:sz w:val="32"/>
          <w:szCs w:val="32"/>
        </w:rPr>
      </w:pPr>
    </w:p>
    <w:p w14:paraId="14817869">
      <w:pPr>
        <w:widowControl/>
        <w:spacing w:line="499" w:lineRule="atLeast"/>
        <w:ind w:firstLine="1600"/>
        <w:rPr>
          <w:rFonts w:ascii="宋体" w:hAnsi="宋体" w:eastAsia="宋体" w:cs="宋体"/>
          <w:color w:val="auto"/>
          <w:sz w:val="32"/>
          <w:szCs w:val="32"/>
        </w:rPr>
      </w:pPr>
    </w:p>
    <w:p w14:paraId="73F5B176">
      <w:pPr>
        <w:widowControl/>
        <w:spacing w:line="499" w:lineRule="atLeast"/>
        <w:ind w:firstLine="1600"/>
        <w:rPr>
          <w:rFonts w:ascii="宋体" w:hAnsi="宋体" w:eastAsia="宋体" w:cs="宋体"/>
          <w:color w:val="auto"/>
          <w:sz w:val="32"/>
          <w:szCs w:val="32"/>
        </w:rPr>
      </w:pPr>
    </w:p>
    <w:p w14:paraId="510FD33C">
      <w:pPr>
        <w:widowControl/>
        <w:spacing w:line="499" w:lineRule="atLeast"/>
        <w:ind w:firstLine="1600"/>
        <w:rPr>
          <w:rFonts w:ascii="宋体" w:hAnsi="宋体" w:eastAsia="宋体" w:cs="宋体"/>
          <w:color w:val="auto"/>
          <w:sz w:val="32"/>
          <w:szCs w:val="32"/>
        </w:rPr>
      </w:pPr>
    </w:p>
    <w:p w14:paraId="132635C1">
      <w:pPr>
        <w:widowControl/>
        <w:spacing w:line="499" w:lineRule="atLeast"/>
        <w:ind w:firstLine="1600"/>
        <w:rPr>
          <w:rFonts w:ascii="宋体" w:hAnsi="宋体" w:eastAsia="宋体" w:cs="宋体"/>
          <w:color w:val="auto"/>
          <w:sz w:val="32"/>
          <w:szCs w:val="32"/>
        </w:rPr>
      </w:pPr>
    </w:p>
    <w:p w14:paraId="1D828FDA">
      <w:pPr>
        <w:widowControl/>
        <w:spacing w:line="499" w:lineRule="atLeast"/>
        <w:ind w:firstLine="1600"/>
        <w:rPr>
          <w:rFonts w:ascii="宋体" w:hAnsi="宋体" w:eastAsia="宋体" w:cs="宋体"/>
          <w:color w:val="auto"/>
          <w:sz w:val="32"/>
          <w:szCs w:val="32"/>
        </w:rPr>
      </w:pPr>
    </w:p>
    <w:p w14:paraId="35EF4721">
      <w:pPr>
        <w:widowControl/>
        <w:spacing w:line="499" w:lineRule="atLeast"/>
        <w:ind w:firstLine="1600"/>
        <w:rPr>
          <w:rFonts w:ascii="宋体" w:hAnsi="宋体" w:eastAsia="宋体" w:cs="宋体"/>
          <w:color w:val="auto"/>
          <w:sz w:val="32"/>
          <w:szCs w:val="32"/>
        </w:rPr>
      </w:pPr>
    </w:p>
    <w:p w14:paraId="7AA6321A">
      <w:pPr>
        <w:widowControl/>
        <w:spacing w:line="499" w:lineRule="atLeast"/>
        <w:ind w:firstLine="1600"/>
        <w:rPr>
          <w:rFonts w:ascii="宋体" w:hAnsi="宋体" w:eastAsia="宋体" w:cs="宋体"/>
          <w:color w:val="auto"/>
          <w:sz w:val="32"/>
          <w:szCs w:val="32"/>
        </w:rPr>
      </w:pPr>
    </w:p>
    <w:p w14:paraId="089191A7">
      <w:pPr>
        <w:widowControl/>
        <w:spacing w:line="499" w:lineRule="atLeast"/>
        <w:ind w:firstLine="1600"/>
        <w:rPr>
          <w:rFonts w:ascii="宋体" w:hAnsi="宋体" w:eastAsia="宋体" w:cs="宋体"/>
          <w:color w:val="auto"/>
          <w:sz w:val="32"/>
          <w:szCs w:val="32"/>
        </w:rPr>
      </w:pPr>
    </w:p>
    <w:p w14:paraId="65D22D46">
      <w:pPr>
        <w:widowControl/>
        <w:spacing w:line="499" w:lineRule="atLeast"/>
        <w:ind w:firstLine="1600"/>
        <w:rPr>
          <w:rFonts w:ascii="宋体" w:hAnsi="宋体" w:eastAsia="宋体" w:cs="宋体"/>
          <w:color w:val="auto"/>
          <w:sz w:val="32"/>
          <w:szCs w:val="32"/>
        </w:rPr>
      </w:pPr>
    </w:p>
    <w:p w14:paraId="33756D58">
      <w:pPr>
        <w:rPr>
          <w:rFonts w:ascii="宋体" w:hAnsi="宋体" w:eastAsia="宋体" w:cs="宋体"/>
          <w:b/>
          <w:bCs/>
          <w:color w:val="auto"/>
          <w:sz w:val="32"/>
          <w:szCs w:val="32"/>
        </w:rPr>
      </w:pPr>
      <w:r>
        <w:rPr>
          <w:rFonts w:hint="eastAsia" w:ascii="宋体" w:hAnsi="宋体" w:eastAsia="宋体" w:cs="宋体"/>
          <w:b/>
          <w:bCs/>
          <w:color w:val="auto"/>
          <w:sz w:val="32"/>
          <w:szCs w:val="32"/>
        </w:rPr>
        <w:br w:type="page" w:clear="all"/>
      </w:r>
    </w:p>
    <w:p w14:paraId="3C9ECDA0">
      <w:pPr>
        <w:widowControl/>
        <w:spacing w:line="499" w:lineRule="atLeast"/>
        <w:ind w:firstLine="1600"/>
        <w:rPr>
          <w:rFonts w:ascii="宋体" w:hAnsi="宋体" w:eastAsia="宋体" w:cs="宋体"/>
          <w:color w:val="auto"/>
          <w:sz w:val="24"/>
        </w:rPr>
      </w:pPr>
      <w:r>
        <w:rPr>
          <w:rFonts w:hint="eastAsia" w:ascii="宋体" w:hAnsi="宋体" w:eastAsia="宋体" w:cs="宋体"/>
          <w:b/>
          <w:bCs/>
          <w:color w:val="auto"/>
          <w:sz w:val="32"/>
          <w:szCs w:val="32"/>
        </w:rPr>
        <w:t>十六、盐城市政府采购事前信用承诺书</w:t>
      </w:r>
    </w:p>
    <w:p w14:paraId="7ABCE979">
      <w:pPr>
        <w:widowControl/>
        <w:spacing w:line="499" w:lineRule="atLeast"/>
        <w:ind w:firstLine="480"/>
        <w:jc w:val="left"/>
        <w:rPr>
          <w:rFonts w:ascii="宋体" w:hAnsi="宋体" w:eastAsia="宋体" w:cs="宋体"/>
          <w:color w:val="auto"/>
          <w:szCs w:val="21"/>
        </w:rPr>
      </w:pPr>
      <w:r>
        <w:rPr>
          <w:rFonts w:hint="eastAsia" w:ascii="宋体" w:hAnsi="宋体" w:eastAsia="宋体" w:cs="宋体"/>
          <w:color w:val="auto"/>
          <w:szCs w:val="21"/>
        </w:rPr>
        <w:t>为营造我市公开、公平、公正、诚实守信的政府采购交易环境，树立诚信守法的投标人形象，本人代表本单位作出以下承诺：</w:t>
      </w:r>
    </w:p>
    <w:p w14:paraId="431D137B">
      <w:pPr>
        <w:widowControl/>
        <w:spacing w:line="499" w:lineRule="atLeast"/>
        <w:jc w:val="left"/>
        <w:rPr>
          <w:rFonts w:ascii="宋体" w:hAnsi="宋体" w:eastAsia="宋体" w:cs="宋体"/>
          <w:color w:val="auto"/>
          <w:szCs w:val="21"/>
        </w:rPr>
      </w:pPr>
      <w:r>
        <w:rPr>
          <w:rFonts w:hint="eastAsia" w:ascii="宋体" w:hAnsi="宋体" w:eastAsia="宋体" w:cs="宋体"/>
          <w:color w:val="auto"/>
          <w:szCs w:val="21"/>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26630EA5">
      <w:pPr>
        <w:widowControl/>
        <w:spacing w:line="499" w:lineRule="atLeast"/>
        <w:ind w:firstLine="480"/>
        <w:jc w:val="left"/>
        <w:rPr>
          <w:rFonts w:ascii="宋体" w:hAnsi="宋体" w:eastAsia="宋体" w:cs="宋体"/>
          <w:color w:val="auto"/>
          <w:szCs w:val="21"/>
        </w:rPr>
      </w:pPr>
      <w:r>
        <w:rPr>
          <w:rFonts w:hint="eastAsia" w:ascii="宋体" w:hAnsi="宋体" w:eastAsia="宋体" w:cs="宋体"/>
          <w:color w:val="auto"/>
          <w:szCs w:val="21"/>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34BD056">
      <w:pPr>
        <w:widowControl/>
        <w:spacing w:line="499" w:lineRule="atLeast"/>
        <w:jc w:val="left"/>
        <w:rPr>
          <w:rFonts w:ascii="宋体" w:hAnsi="宋体" w:eastAsia="宋体" w:cs="宋体"/>
          <w:color w:val="auto"/>
          <w:szCs w:val="21"/>
        </w:rPr>
      </w:pPr>
      <w:r>
        <w:rPr>
          <w:rFonts w:hint="eastAsia" w:ascii="宋体" w:hAnsi="宋体" w:eastAsia="宋体" w:cs="宋体"/>
          <w:color w:val="auto"/>
          <w:szCs w:val="21"/>
        </w:rPr>
        <w:t xml:space="preserve">   （三）严格依照国家和省、市关于政府采购的法律、法规、规章、规范性文件，参加政府采购投标活动；积极履行社会责任，促进廉政建设； </w:t>
      </w:r>
    </w:p>
    <w:p w14:paraId="1724A0FC">
      <w:pPr>
        <w:widowControl/>
        <w:spacing w:line="499" w:lineRule="atLeast"/>
        <w:jc w:val="left"/>
        <w:rPr>
          <w:rFonts w:ascii="宋体" w:hAnsi="宋体" w:eastAsia="宋体" w:cs="宋体"/>
          <w:color w:val="auto"/>
          <w:szCs w:val="21"/>
        </w:rPr>
      </w:pPr>
      <w:r>
        <w:rPr>
          <w:rFonts w:hint="eastAsia" w:ascii="宋体" w:hAnsi="宋体" w:eastAsia="宋体" w:cs="宋体"/>
          <w:color w:val="auto"/>
          <w:szCs w:val="21"/>
        </w:rPr>
        <w:t>   （四）严格遵守即时信息公示规定，及时维护和更新盐城市政府采购网中与本单位相关的信息；</w:t>
      </w:r>
    </w:p>
    <w:p w14:paraId="73226845">
      <w:pPr>
        <w:widowControl/>
        <w:spacing w:line="499" w:lineRule="atLeast"/>
        <w:jc w:val="left"/>
        <w:rPr>
          <w:rFonts w:ascii="宋体" w:hAnsi="宋体" w:eastAsia="宋体" w:cs="宋体"/>
          <w:color w:val="auto"/>
          <w:szCs w:val="21"/>
        </w:rPr>
      </w:pPr>
      <w:r>
        <w:rPr>
          <w:rFonts w:hint="eastAsia" w:ascii="宋体" w:hAnsi="宋体" w:eastAsia="宋体" w:cs="宋体"/>
          <w:color w:val="auto"/>
          <w:szCs w:val="21"/>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1C0C5E1D">
      <w:pPr>
        <w:widowControl/>
        <w:spacing w:line="499" w:lineRule="atLeast"/>
        <w:jc w:val="left"/>
        <w:rPr>
          <w:rFonts w:ascii="宋体" w:hAnsi="宋体" w:eastAsia="宋体" w:cs="宋体"/>
          <w:color w:val="auto"/>
          <w:szCs w:val="21"/>
        </w:rPr>
      </w:pPr>
      <w:r>
        <w:rPr>
          <w:rFonts w:hint="eastAsia" w:ascii="宋体" w:hAnsi="宋体" w:eastAsia="宋体" w:cs="宋体"/>
          <w:color w:val="auto"/>
          <w:szCs w:val="21"/>
        </w:rPr>
        <w:t>   （六）自觉接受政府、行业组织、社会公众、新闻舆论的监督；</w:t>
      </w:r>
    </w:p>
    <w:p w14:paraId="26FEC0CD">
      <w:pPr>
        <w:widowControl/>
        <w:spacing w:line="499" w:lineRule="atLeast"/>
        <w:ind w:firstLine="480"/>
        <w:jc w:val="left"/>
        <w:rPr>
          <w:rFonts w:ascii="宋体" w:hAnsi="宋体" w:eastAsia="宋体" w:cs="宋体"/>
          <w:color w:val="auto"/>
          <w:szCs w:val="21"/>
        </w:rPr>
      </w:pPr>
      <w:r>
        <w:rPr>
          <w:rFonts w:hint="eastAsia" w:ascii="宋体" w:hAnsi="宋体" w:eastAsia="宋体" w:cs="宋体"/>
          <w:color w:val="auto"/>
          <w:szCs w:val="21"/>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0D3FCEC">
      <w:pPr>
        <w:widowControl/>
        <w:spacing w:line="499" w:lineRule="atLeast"/>
        <w:jc w:val="left"/>
        <w:rPr>
          <w:rFonts w:ascii="宋体" w:hAnsi="宋体" w:eastAsia="宋体" w:cs="宋体"/>
          <w:color w:val="auto"/>
          <w:szCs w:val="21"/>
        </w:rPr>
      </w:pPr>
      <w:r>
        <w:rPr>
          <w:rFonts w:hint="eastAsia" w:ascii="宋体" w:hAnsi="宋体" w:eastAsia="宋体" w:cs="宋体"/>
          <w:color w:val="auto"/>
          <w:szCs w:val="21"/>
        </w:rPr>
        <w:t>   （八）本人已认真阅读了上述承诺，并向本单位员工作了宣传教育。</w:t>
      </w:r>
    </w:p>
    <w:p w14:paraId="5A57A6CF">
      <w:pPr>
        <w:widowControl/>
        <w:spacing w:line="499" w:lineRule="atLeast"/>
        <w:jc w:val="left"/>
        <w:rPr>
          <w:rFonts w:ascii="宋体" w:hAnsi="宋体" w:eastAsia="宋体" w:cs="宋体"/>
          <w:color w:val="auto"/>
          <w:szCs w:val="21"/>
        </w:rPr>
      </w:pPr>
      <w:r>
        <w:rPr>
          <w:rFonts w:hint="eastAsia" w:ascii="宋体" w:hAnsi="宋体" w:eastAsia="宋体" w:cs="宋体"/>
          <w:color w:val="auto"/>
          <w:szCs w:val="21"/>
        </w:rPr>
        <w:t>                  法定代表人签名：</w:t>
      </w:r>
    </w:p>
    <w:p w14:paraId="5AB4FEC9">
      <w:pPr>
        <w:widowControl/>
        <w:spacing w:line="499" w:lineRule="atLeast"/>
        <w:jc w:val="center"/>
        <w:rPr>
          <w:rFonts w:ascii="宋体" w:hAnsi="宋体" w:eastAsia="宋体" w:cs="宋体"/>
          <w:color w:val="auto"/>
          <w:szCs w:val="21"/>
        </w:rPr>
      </w:pPr>
      <w:r>
        <w:rPr>
          <w:rFonts w:hint="eastAsia" w:ascii="宋体" w:hAnsi="宋体" w:eastAsia="宋体" w:cs="宋体"/>
          <w:color w:val="auto"/>
          <w:szCs w:val="21"/>
        </w:rPr>
        <w:t>                   单位名称（盖章）：</w:t>
      </w:r>
    </w:p>
    <w:p w14:paraId="051FB816">
      <w:pPr>
        <w:widowControl/>
        <w:spacing w:line="499" w:lineRule="atLeast"/>
        <w:jc w:val="center"/>
        <w:rPr>
          <w:rFonts w:ascii="宋体" w:hAnsi="宋体" w:eastAsia="宋体" w:cs="宋体"/>
          <w:color w:val="auto"/>
          <w:szCs w:val="21"/>
        </w:rPr>
      </w:pPr>
      <w:r>
        <w:rPr>
          <w:rFonts w:hint="eastAsia" w:ascii="宋体" w:hAnsi="宋体" w:eastAsia="宋体" w:cs="宋体"/>
          <w:color w:val="auto"/>
          <w:szCs w:val="21"/>
        </w:rPr>
        <w:t>                      年月日</w:t>
      </w:r>
      <w:bookmarkEnd w:id="37"/>
      <w:bookmarkEnd w:id="52"/>
      <w:bookmarkEnd w:id="97"/>
      <w:bookmarkEnd w:id="98"/>
      <w:bookmarkEnd w:id="99"/>
      <w:bookmarkEnd w:id="102"/>
      <w:bookmarkEnd w:id="103"/>
      <w:bookmarkEnd w:id="104"/>
      <w:bookmarkEnd w:id="105"/>
      <w:bookmarkEnd w:id="106"/>
      <w:bookmarkEnd w:id="107"/>
      <w:bookmarkEnd w:id="108"/>
      <w:bookmarkEnd w:id="109"/>
      <w:bookmarkEnd w:id="110"/>
      <w:bookmarkEnd w:id="111"/>
      <w:bookmarkEnd w:id="112"/>
      <w:bookmarkEnd w:id="113"/>
      <w:bookmarkEnd w:id="114"/>
      <w:bookmarkEnd w:id="119"/>
      <w:bookmarkEnd w:id="120"/>
      <w:bookmarkEnd w:id="121"/>
      <w:bookmarkEnd w:id="126"/>
      <w:bookmarkEnd w:id="127"/>
      <w:bookmarkEnd w:id="134"/>
      <w:bookmarkEnd w:id="184"/>
      <w:bookmarkEnd w:id="189"/>
      <w:bookmarkEnd w:id="193"/>
      <w:bookmarkEnd w:id="194"/>
      <w:bookmarkEnd w:id="196"/>
      <w:bookmarkEnd w:id="197"/>
      <w:bookmarkEnd w:id="198"/>
      <w:bookmarkEnd w:id="199"/>
      <w:bookmarkEnd w:id="208"/>
      <w:bookmarkEnd w:id="209"/>
      <w:bookmarkEnd w:id="210"/>
      <w:bookmarkEnd w:id="211"/>
      <w:bookmarkEnd w:id="212"/>
    </w:p>
    <w:p w14:paraId="0788BBE3">
      <w:pPr>
        <w:pStyle w:val="32"/>
        <w:spacing w:beforeAutospacing="0" w:afterAutospacing="0"/>
        <w:jc w:val="center"/>
        <w:rPr>
          <w:color w:val="auto"/>
          <w:sz w:val="21"/>
          <w:szCs w:val="21"/>
        </w:rPr>
      </w:pPr>
    </w:p>
    <w:p w14:paraId="42BAAF7A">
      <w:pPr>
        <w:rPr>
          <w:color w:val="auto"/>
          <w:szCs w:val="21"/>
        </w:rPr>
      </w:pPr>
    </w:p>
    <w:p w14:paraId="0483ADC7">
      <w:pPr>
        <w:pStyle w:val="32"/>
        <w:spacing w:beforeAutospacing="0" w:afterAutospacing="0"/>
        <w:jc w:val="center"/>
        <w:rPr>
          <w:rFonts w:ascii="宋体" w:hAnsi="宋体" w:eastAsia="宋体" w:cs="宋体"/>
          <w:b/>
          <w:color w:val="auto"/>
          <w:sz w:val="32"/>
          <w:szCs w:val="32"/>
        </w:rPr>
      </w:pPr>
    </w:p>
    <w:p w14:paraId="4F1CF21D">
      <w:pPr>
        <w:pStyle w:val="32"/>
        <w:spacing w:beforeAutospacing="0" w:afterAutospacing="0"/>
        <w:jc w:val="both"/>
        <w:rPr>
          <w:rFonts w:ascii="宋体" w:hAnsi="宋体" w:eastAsia="宋体" w:cs="宋体"/>
          <w:b/>
          <w:color w:val="auto"/>
          <w:sz w:val="32"/>
          <w:szCs w:val="32"/>
        </w:rPr>
      </w:pPr>
    </w:p>
    <w:p w14:paraId="158C4FE1">
      <w:pPr>
        <w:widowControl/>
        <w:spacing w:line="499" w:lineRule="atLeast"/>
        <w:jc w:val="center"/>
        <w:rPr>
          <w:rFonts w:ascii="宋体" w:hAnsi="宋体" w:eastAsia="宋体" w:cs="宋体"/>
          <w:b/>
          <w:bCs/>
          <w:color w:val="auto"/>
          <w:sz w:val="32"/>
          <w:szCs w:val="32"/>
        </w:rPr>
      </w:pPr>
      <w:r>
        <w:rPr>
          <w:rFonts w:hint="eastAsia" w:ascii="宋体" w:hAnsi="宋体" w:eastAsia="宋体" w:cs="宋体"/>
          <w:b/>
          <w:bCs/>
          <w:color w:val="auto"/>
          <w:sz w:val="32"/>
          <w:szCs w:val="32"/>
        </w:rPr>
        <w:t>项目建设供应商承诺函</w:t>
      </w:r>
    </w:p>
    <w:p w14:paraId="360F3F11">
      <w:pPr>
        <w:spacing w:line="480" w:lineRule="auto"/>
        <w:ind w:firstLine="420"/>
        <w:rPr>
          <w:rFonts w:ascii="宋体" w:hAnsi="宋体" w:eastAsia="宋体" w:cs="宋体"/>
          <w:color w:val="auto"/>
          <w:szCs w:val="21"/>
        </w:rPr>
      </w:pPr>
      <w:r>
        <w:rPr>
          <w:rFonts w:hint="eastAsia" w:ascii="宋体" w:hAnsi="宋体" w:eastAsia="宋体" w:cs="宋体"/>
          <w:color w:val="auto"/>
          <w:szCs w:val="21"/>
        </w:rPr>
        <w:t>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p>
    <w:p w14:paraId="30B9FA57">
      <w:pPr>
        <w:spacing w:line="480" w:lineRule="auto"/>
        <w:ind w:firstLine="420"/>
        <w:rPr>
          <w:rFonts w:ascii="宋体" w:hAnsi="宋体" w:eastAsia="宋体" w:cs="宋体"/>
          <w:color w:val="auto"/>
          <w:szCs w:val="21"/>
        </w:rPr>
      </w:pPr>
      <w:r>
        <w:rPr>
          <w:rFonts w:hint="eastAsia" w:ascii="宋体" w:hAnsi="宋体" w:eastAsia="宋体" w:cs="宋体"/>
          <w:color w:val="auto"/>
          <w:szCs w:val="21"/>
        </w:rPr>
        <w:t>2、市公安局采购办将在合同约定的履约期限结束的5个工作日内组织项目验收，供应商应当及时做好验收的准备工作，验收的每次结果将存档，如未能验收通过将根据未通过的原因按照合同约定追究违约责任。</w:t>
      </w:r>
    </w:p>
    <w:p w14:paraId="27C2C5FA">
      <w:pPr>
        <w:spacing w:line="480" w:lineRule="auto"/>
        <w:ind w:firstLine="420"/>
        <w:rPr>
          <w:rFonts w:ascii="宋体" w:hAnsi="宋体" w:eastAsia="宋体" w:cs="宋体"/>
          <w:color w:val="auto"/>
          <w:szCs w:val="21"/>
        </w:rPr>
      </w:pPr>
      <w:r>
        <w:rPr>
          <w:rFonts w:hint="eastAsia" w:ascii="宋体" w:hAnsi="宋体" w:eastAsia="宋体" w:cs="宋体"/>
          <w:color w:val="auto"/>
          <w:szCs w:val="21"/>
        </w:rPr>
        <w:t>对未列出的其他事项，严格按照法律法规等具体规定执行。</w:t>
      </w:r>
    </w:p>
    <w:p w14:paraId="307E70A1">
      <w:pPr>
        <w:spacing w:line="480" w:lineRule="auto"/>
        <w:ind w:firstLine="420"/>
        <w:rPr>
          <w:rFonts w:ascii="宋体" w:hAnsi="宋体" w:eastAsia="宋体" w:cs="宋体"/>
          <w:color w:val="auto"/>
          <w:szCs w:val="21"/>
        </w:rPr>
      </w:pPr>
      <w:r>
        <w:rPr>
          <w:rFonts w:hint="eastAsia" w:ascii="宋体" w:hAnsi="宋体" w:eastAsia="宋体" w:cs="宋体"/>
          <w:color w:val="auto"/>
          <w:szCs w:val="21"/>
        </w:rPr>
        <w:t>现承诺，我单位在履行</w:t>
      </w:r>
      <w:r>
        <w:rPr>
          <w:rFonts w:hint="eastAsia" w:ascii="宋体" w:hAnsi="宋体" w:eastAsia="宋体" w:cs="宋体"/>
          <w:color w:val="auto"/>
          <w:szCs w:val="21"/>
          <w:u w:val="single"/>
        </w:rPr>
        <w:t xml:space="preserve">    （ 项目名称  ）         </w:t>
      </w:r>
      <w:r>
        <w:rPr>
          <w:rFonts w:hint="eastAsia" w:ascii="宋体" w:hAnsi="宋体" w:eastAsia="宋体" w:cs="宋体"/>
          <w:color w:val="auto"/>
          <w:szCs w:val="21"/>
        </w:rPr>
        <w:t>的项目建设中，将严格按照提示函的内容和要求执行，如若违反愿意承担相应的责任。</w:t>
      </w:r>
    </w:p>
    <w:p w14:paraId="62F9BFE0">
      <w:pPr>
        <w:spacing w:line="480" w:lineRule="auto"/>
        <w:rPr>
          <w:rFonts w:ascii="宋体" w:hAnsi="宋体" w:eastAsia="宋体" w:cs="宋体"/>
          <w:color w:val="auto"/>
          <w:szCs w:val="21"/>
        </w:rPr>
      </w:pPr>
    </w:p>
    <w:p w14:paraId="1946B27A">
      <w:pPr>
        <w:spacing w:line="480" w:lineRule="auto"/>
        <w:rPr>
          <w:rFonts w:ascii="宋体" w:hAnsi="宋体" w:eastAsia="宋体" w:cs="宋体"/>
          <w:color w:val="auto"/>
          <w:szCs w:val="21"/>
        </w:rPr>
      </w:pPr>
      <w:r>
        <w:rPr>
          <w:rFonts w:hint="eastAsia" w:ascii="宋体" w:hAnsi="宋体" w:eastAsia="宋体" w:cs="宋体"/>
          <w:color w:val="auto"/>
          <w:szCs w:val="21"/>
        </w:rPr>
        <w:t>供应商项目负责人（签字）：            联系方式：</w:t>
      </w:r>
    </w:p>
    <w:p w14:paraId="35D9CD80">
      <w:pPr>
        <w:pStyle w:val="32"/>
        <w:spacing w:beforeAutospacing="0" w:afterAutospacing="0"/>
        <w:jc w:val="center"/>
        <w:rPr>
          <w:rFonts w:ascii="宋体" w:hAnsi="宋体" w:eastAsia="宋体" w:cs="宋体"/>
          <w:b/>
          <w:color w:val="auto"/>
          <w:sz w:val="32"/>
          <w:szCs w:val="32"/>
        </w:rPr>
      </w:pPr>
    </w:p>
    <w:p w14:paraId="4123DDF7">
      <w:pPr>
        <w:pStyle w:val="32"/>
        <w:spacing w:beforeAutospacing="0" w:afterAutospacing="0"/>
        <w:jc w:val="center"/>
        <w:rPr>
          <w:rFonts w:ascii="宋体" w:hAnsi="宋体" w:eastAsia="宋体" w:cs="宋体"/>
          <w:b/>
          <w:color w:val="auto"/>
          <w:sz w:val="32"/>
          <w:szCs w:val="32"/>
        </w:rPr>
      </w:pPr>
    </w:p>
    <w:p w14:paraId="0698F4E7">
      <w:pPr>
        <w:pStyle w:val="32"/>
        <w:spacing w:beforeAutospacing="0" w:afterAutospacing="0"/>
        <w:jc w:val="center"/>
        <w:rPr>
          <w:rFonts w:ascii="宋体" w:hAnsi="宋体" w:eastAsia="宋体" w:cs="宋体"/>
          <w:b/>
          <w:color w:val="auto"/>
          <w:sz w:val="32"/>
          <w:szCs w:val="32"/>
        </w:rPr>
      </w:pPr>
    </w:p>
    <w:p w14:paraId="2BEAFC00">
      <w:pPr>
        <w:pStyle w:val="32"/>
        <w:spacing w:beforeAutospacing="0" w:afterAutospacing="0"/>
        <w:jc w:val="center"/>
        <w:rPr>
          <w:rFonts w:ascii="宋体" w:hAnsi="宋体" w:eastAsia="宋体" w:cs="宋体"/>
          <w:b/>
          <w:color w:val="auto"/>
          <w:sz w:val="32"/>
          <w:szCs w:val="32"/>
        </w:rPr>
      </w:pPr>
    </w:p>
    <w:p w14:paraId="12D9F1F9">
      <w:pPr>
        <w:pStyle w:val="32"/>
        <w:spacing w:beforeAutospacing="0" w:afterAutospacing="0"/>
        <w:jc w:val="center"/>
        <w:rPr>
          <w:rFonts w:ascii="宋体" w:hAnsi="宋体" w:eastAsia="宋体" w:cs="宋体"/>
          <w:b/>
          <w:color w:val="auto"/>
          <w:sz w:val="32"/>
          <w:szCs w:val="32"/>
        </w:rPr>
      </w:pPr>
    </w:p>
    <w:p w14:paraId="32274B05">
      <w:pPr>
        <w:pStyle w:val="32"/>
        <w:spacing w:beforeAutospacing="0" w:afterAutospacing="0"/>
        <w:jc w:val="center"/>
        <w:rPr>
          <w:rFonts w:ascii="宋体" w:hAnsi="宋体" w:eastAsia="宋体" w:cs="宋体"/>
          <w:b/>
          <w:color w:val="auto"/>
          <w:sz w:val="32"/>
          <w:szCs w:val="32"/>
        </w:rPr>
      </w:pPr>
    </w:p>
    <w:p w14:paraId="1A6B9132">
      <w:pPr>
        <w:pStyle w:val="32"/>
        <w:spacing w:beforeAutospacing="0" w:afterAutospacing="0"/>
        <w:jc w:val="center"/>
        <w:rPr>
          <w:rFonts w:ascii="宋体" w:hAnsi="宋体" w:eastAsia="宋体" w:cs="宋体"/>
          <w:b/>
          <w:color w:val="auto"/>
          <w:sz w:val="32"/>
          <w:szCs w:val="32"/>
        </w:rPr>
      </w:pPr>
    </w:p>
    <w:p w14:paraId="061A4F3E">
      <w:pPr>
        <w:pStyle w:val="32"/>
        <w:spacing w:beforeAutospacing="0" w:afterAutospacing="0"/>
        <w:jc w:val="center"/>
        <w:rPr>
          <w:rFonts w:ascii="宋体" w:hAnsi="宋体" w:eastAsia="宋体" w:cs="宋体"/>
          <w:b/>
          <w:color w:val="auto"/>
          <w:sz w:val="32"/>
          <w:szCs w:val="32"/>
        </w:rPr>
      </w:pPr>
    </w:p>
    <w:p w14:paraId="7E02611C">
      <w:pPr>
        <w:pStyle w:val="32"/>
        <w:spacing w:beforeAutospacing="0" w:afterAutospacing="0"/>
        <w:jc w:val="center"/>
        <w:rPr>
          <w:rFonts w:ascii="宋体" w:hAnsi="宋体" w:eastAsia="宋体" w:cs="宋体"/>
          <w:b/>
          <w:color w:val="auto"/>
          <w:sz w:val="32"/>
          <w:szCs w:val="32"/>
        </w:rPr>
      </w:pPr>
    </w:p>
    <w:p w14:paraId="6132915B">
      <w:pPr>
        <w:pStyle w:val="32"/>
        <w:spacing w:beforeAutospacing="0" w:afterAutospacing="0"/>
        <w:jc w:val="center"/>
        <w:rPr>
          <w:rFonts w:ascii="宋体" w:hAnsi="宋体" w:eastAsia="宋体" w:cs="宋体"/>
          <w:b/>
          <w:color w:val="auto"/>
          <w:sz w:val="32"/>
          <w:szCs w:val="32"/>
        </w:rPr>
      </w:pPr>
    </w:p>
    <w:p w14:paraId="1CF43B62">
      <w:pPr>
        <w:pStyle w:val="32"/>
        <w:spacing w:beforeAutospacing="0" w:afterAutospacing="0"/>
        <w:jc w:val="center"/>
        <w:rPr>
          <w:rFonts w:ascii="宋体" w:hAnsi="宋体" w:eastAsia="宋体" w:cs="宋体"/>
          <w:b/>
          <w:color w:val="auto"/>
          <w:sz w:val="32"/>
          <w:szCs w:val="32"/>
        </w:rPr>
      </w:pPr>
      <w:r>
        <w:rPr>
          <w:rFonts w:hint="eastAsia" w:ascii="宋体" w:hAnsi="宋体" w:eastAsia="宋体" w:cs="宋体"/>
          <w:b/>
          <w:color w:val="auto"/>
          <w:sz w:val="32"/>
          <w:szCs w:val="32"/>
        </w:rPr>
        <w:t>质疑函范本</w:t>
      </w:r>
    </w:p>
    <w:p w14:paraId="303D94A2">
      <w:pPr>
        <w:pStyle w:val="32"/>
        <w:spacing w:before="290"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一、质疑供应商基本信息</w:t>
      </w:r>
    </w:p>
    <w:p w14:paraId="58657789">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质疑供应商：</w:t>
      </w:r>
      <w:r>
        <w:rPr>
          <w:rFonts w:hint="eastAsia" w:ascii="宋体" w:hAnsi="宋体" w:eastAsia="宋体" w:cs="宋体"/>
          <w:color w:val="auto"/>
          <w:sz w:val="21"/>
          <w:szCs w:val="21"/>
          <w:u w:val="single"/>
        </w:rPr>
        <w:t>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p>
    <w:p w14:paraId="1F969CE0">
      <w:pPr>
        <w:pStyle w:val="32"/>
        <w:spacing w:beforeAutospacing="0" w:afterAutospacing="0" w:line="360" w:lineRule="auto"/>
        <w:jc w:val="both"/>
        <w:rPr>
          <w:rFonts w:ascii="宋体" w:hAnsi="宋体" w:eastAsia="宋体" w:cs="宋体"/>
          <w:color w:val="auto"/>
          <w:sz w:val="21"/>
          <w:szCs w:val="21"/>
          <w:u w:val="single"/>
        </w:rPr>
      </w:pPr>
      <w:r>
        <w:rPr>
          <w:rFonts w:hint="eastAsia" w:ascii="宋体" w:hAnsi="宋体" w:eastAsia="宋体" w:cs="宋体"/>
          <w:color w:val="auto"/>
          <w:sz w:val="21"/>
          <w:szCs w:val="21"/>
        </w:rPr>
        <w:t>地址：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w:t>
      </w:r>
    </w:p>
    <w:p w14:paraId="0DCB9B13">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邮编：</w:t>
      </w:r>
      <w:r>
        <w:rPr>
          <w:rFonts w:hint="eastAsia" w:ascii="宋体" w:hAnsi="宋体" w:eastAsia="宋体" w:cs="宋体"/>
          <w:color w:val="auto"/>
          <w:sz w:val="21"/>
          <w:szCs w:val="21"/>
          <w:u w:val="single"/>
        </w:rPr>
        <w:t>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p>
    <w:p w14:paraId="2140D500">
      <w:pPr>
        <w:pStyle w:val="32"/>
        <w:spacing w:beforeAutospacing="0" w:afterAutospacing="0" w:line="360" w:lineRule="auto"/>
        <w:jc w:val="both"/>
        <w:rPr>
          <w:rFonts w:ascii="宋体" w:hAnsi="宋体" w:eastAsia="宋体" w:cs="宋体"/>
          <w:color w:val="auto"/>
          <w:sz w:val="21"/>
          <w:szCs w:val="21"/>
          <w:u w:val="single"/>
        </w:rPr>
      </w:pPr>
      <w:r>
        <w:rPr>
          <w:rFonts w:hint="eastAsia" w:ascii="宋体" w:hAnsi="宋体" w:eastAsia="宋体" w:cs="宋体"/>
          <w:color w:val="auto"/>
          <w:sz w:val="21"/>
          <w:szCs w:val="21"/>
        </w:rPr>
        <w:t>联系人：</w:t>
      </w:r>
      <w:r>
        <w:rPr>
          <w:rFonts w:hint="eastAsia" w:ascii="宋体" w:hAnsi="宋体" w:eastAsia="宋体" w:cs="宋体"/>
          <w:color w:val="auto"/>
          <w:sz w:val="21"/>
          <w:szCs w:val="21"/>
          <w:u w:val="single"/>
        </w:rPr>
        <w:t>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p>
    <w:p w14:paraId="36844A5C">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sz w:val="21"/>
          <w:szCs w:val="21"/>
          <w:u w:val="single"/>
        </w:rPr>
        <w:t xml:space="preserve">                                           </w:t>
      </w:r>
    </w:p>
    <w:p w14:paraId="4C2535F3">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授权代表：</w:t>
      </w:r>
      <w:r>
        <w:rPr>
          <w:rFonts w:hint="eastAsia" w:ascii="宋体" w:hAnsi="宋体" w:eastAsia="宋体" w:cs="宋体"/>
          <w:color w:val="auto"/>
          <w:sz w:val="21"/>
          <w:szCs w:val="21"/>
          <w:u w:val="single"/>
        </w:rPr>
        <w:t>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p>
    <w:p w14:paraId="74A51E33">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sz w:val="21"/>
          <w:szCs w:val="21"/>
          <w:u w:val="single"/>
        </w:rPr>
        <w:t>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p>
    <w:p w14:paraId="2C5DEA1B">
      <w:pPr>
        <w:pStyle w:val="32"/>
        <w:spacing w:beforeAutospacing="0" w:afterAutospacing="0" w:line="360" w:lineRule="auto"/>
        <w:jc w:val="both"/>
        <w:rPr>
          <w:rFonts w:ascii="宋体" w:hAnsi="宋体" w:eastAsia="宋体" w:cs="宋体"/>
          <w:color w:val="auto"/>
          <w:sz w:val="21"/>
          <w:szCs w:val="21"/>
          <w:u w:val="single"/>
        </w:rPr>
      </w:pPr>
      <w:r>
        <w:rPr>
          <w:rFonts w:hint="eastAsia" w:ascii="宋体" w:hAnsi="宋体" w:eastAsia="宋体" w:cs="宋体"/>
          <w:color w:val="auto"/>
          <w:sz w:val="21"/>
          <w:szCs w:val="21"/>
        </w:rPr>
        <w:t>地址： </w:t>
      </w:r>
      <w:r>
        <w:rPr>
          <w:rFonts w:hint="eastAsia" w:ascii="宋体" w:hAnsi="宋体" w:eastAsia="宋体" w:cs="宋体"/>
          <w:color w:val="auto"/>
          <w:sz w:val="21"/>
          <w:szCs w:val="21"/>
          <w:u w:val="single"/>
        </w:rPr>
        <w:t>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p>
    <w:p w14:paraId="7F39499F">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邮编：</w:t>
      </w:r>
      <w:r>
        <w:rPr>
          <w:rFonts w:hint="eastAsia" w:ascii="宋体" w:hAnsi="宋体" w:eastAsia="宋体" w:cs="宋体"/>
          <w:color w:val="auto"/>
          <w:sz w:val="21"/>
          <w:szCs w:val="21"/>
          <w:u w:val="single"/>
        </w:rPr>
        <w:t xml:space="preserve">                                </w:t>
      </w:r>
    </w:p>
    <w:p w14:paraId="01ADFAE3">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二、质疑项目基本情况</w:t>
      </w:r>
    </w:p>
    <w:p w14:paraId="69ED3EFA">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质疑项目的名称：</w:t>
      </w:r>
      <w:r>
        <w:rPr>
          <w:rFonts w:hint="eastAsia" w:ascii="宋体" w:hAnsi="宋体" w:eastAsia="宋体" w:cs="宋体"/>
          <w:color w:val="auto"/>
          <w:sz w:val="21"/>
          <w:szCs w:val="21"/>
          <w:u w:val="single"/>
        </w:rPr>
        <w:t xml:space="preserve">                            </w:t>
      </w:r>
    </w:p>
    <w:p w14:paraId="2C8F30EE">
      <w:pPr>
        <w:pStyle w:val="32"/>
        <w:spacing w:beforeAutospacing="0" w:afterAutospacing="0" w:line="360" w:lineRule="auto"/>
        <w:jc w:val="both"/>
        <w:rPr>
          <w:rFonts w:ascii="宋体" w:hAnsi="宋体" w:eastAsia="宋体" w:cs="宋体"/>
          <w:color w:val="auto"/>
          <w:sz w:val="21"/>
          <w:szCs w:val="21"/>
          <w:u w:val="single"/>
        </w:rPr>
      </w:pPr>
      <w:r>
        <w:rPr>
          <w:rFonts w:hint="eastAsia" w:ascii="宋体" w:hAnsi="宋体" w:eastAsia="宋体" w:cs="宋体"/>
          <w:color w:val="auto"/>
          <w:sz w:val="21"/>
          <w:szCs w:val="21"/>
        </w:rPr>
        <w:t>质疑项目的编号：</w:t>
      </w:r>
      <w:r>
        <w:rPr>
          <w:rFonts w:hint="eastAsia" w:ascii="宋体" w:hAnsi="宋体" w:eastAsia="宋体" w:cs="宋体"/>
          <w:color w:val="auto"/>
          <w:sz w:val="21"/>
          <w:szCs w:val="21"/>
          <w:u w:val="single"/>
        </w:rPr>
        <w:t xml:space="preserve">                          </w:t>
      </w:r>
    </w:p>
    <w:p w14:paraId="50673590">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包号：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p>
    <w:p w14:paraId="092FF11C">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采购人名称：</w:t>
      </w:r>
      <w:r>
        <w:rPr>
          <w:rFonts w:hint="eastAsia" w:ascii="宋体" w:hAnsi="宋体" w:eastAsia="宋体" w:cs="宋体"/>
          <w:color w:val="auto"/>
          <w:sz w:val="21"/>
          <w:szCs w:val="21"/>
          <w:u w:val="single"/>
        </w:rPr>
        <w:t xml:space="preserve">                            </w:t>
      </w:r>
    </w:p>
    <w:p w14:paraId="43A41C14">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采购文件获取日期：</w:t>
      </w:r>
      <w:r>
        <w:rPr>
          <w:rFonts w:hint="eastAsia" w:ascii="宋体" w:hAnsi="宋体" w:eastAsia="宋体" w:cs="宋体"/>
          <w:color w:val="auto"/>
          <w:sz w:val="21"/>
          <w:szCs w:val="21"/>
          <w:u w:val="single"/>
        </w:rPr>
        <w:t xml:space="preserve">                             </w:t>
      </w:r>
    </w:p>
    <w:p w14:paraId="6A36138D">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三、质疑事项具体内容</w:t>
      </w:r>
    </w:p>
    <w:p w14:paraId="6504C586">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质疑事项1：</w:t>
      </w:r>
      <w:r>
        <w:rPr>
          <w:rFonts w:hint="eastAsia" w:ascii="宋体" w:hAnsi="宋体" w:eastAsia="宋体" w:cs="宋体"/>
          <w:color w:val="auto"/>
          <w:sz w:val="21"/>
          <w:szCs w:val="21"/>
          <w:u w:val="single"/>
        </w:rPr>
        <w:t xml:space="preserve">                             </w:t>
      </w:r>
    </w:p>
    <w:p w14:paraId="6F8ADB7E">
      <w:pPr>
        <w:pStyle w:val="32"/>
        <w:spacing w:beforeAutospacing="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事实依据：</w:t>
      </w:r>
      <w:r>
        <w:rPr>
          <w:rFonts w:hint="eastAsia" w:ascii="宋体" w:hAnsi="宋体" w:eastAsia="宋体" w:cs="宋体"/>
          <w:color w:val="auto"/>
          <w:sz w:val="21"/>
          <w:szCs w:val="21"/>
          <w:u w:val="single"/>
        </w:rPr>
        <w:t xml:space="preserve">                                                   </w:t>
      </w:r>
    </w:p>
    <w:p w14:paraId="656F873A">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法律依据：</w:t>
      </w:r>
      <w:r>
        <w:rPr>
          <w:rFonts w:hint="eastAsia" w:ascii="宋体" w:hAnsi="宋体" w:eastAsia="宋体" w:cs="宋体"/>
          <w:color w:val="auto"/>
          <w:sz w:val="21"/>
          <w:szCs w:val="21"/>
          <w:u w:val="single"/>
        </w:rPr>
        <w:t xml:space="preserve">                                                    </w:t>
      </w:r>
    </w:p>
    <w:p w14:paraId="58E592C0">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质疑事项2</w:t>
      </w:r>
    </w:p>
    <w:p w14:paraId="32FED0AC">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w:t>
      </w:r>
    </w:p>
    <w:p w14:paraId="7C6FB8D5">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四、与质疑事项相关的质疑请求</w:t>
      </w:r>
    </w:p>
    <w:p w14:paraId="279C6EB0">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请求：</w:t>
      </w:r>
      <w:r>
        <w:rPr>
          <w:rFonts w:hint="eastAsia" w:ascii="宋体" w:hAnsi="宋体" w:eastAsia="宋体" w:cs="宋体"/>
          <w:color w:val="auto"/>
          <w:sz w:val="21"/>
          <w:szCs w:val="21"/>
          <w:u w:val="single"/>
        </w:rPr>
        <w:t xml:space="preserve">                                                          </w:t>
      </w:r>
    </w:p>
    <w:p w14:paraId="4F4630F6">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color w:val="auto"/>
          <w:sz w:val="21"/>
          <w:szCs w:val="21"/>
        </w:rPr>
        <w:t xml:space="preserve">签字(签章)：                 公章：               日期：    </w:t>
      </w:r>
    </w:p>
    <w:p w14:paraId="505A1FA8">
      <w:pPr>
        <w:pStyle w:val="32"/>
        <w:spacing w:beforeAutospacing="0" w:afterAutospacing="0" w:line="360" w:lineRule="auto"/>
        <w:jc w:val="both"/>
        <w:rPr>
          <w:rFonts w:ascii="宋体" w:hAnsi="宋体" w:eastAsia="宋体" w:cs="宋体"/>
          <w:color w:val="auto"/>
          <w:sz w:val="21"/>
          <w:szCs w:val="21"/>
        </w:rPr>
      </w:pPr>
      <w:r>
        <w:rPr>
          <w:rFonts w:hint="eastAsia" w:ascii="宋体" w:hAnsi="宋体" w:eastAsia="宋体" w:cs="宋体"/>
          <w:b/>
          <w:color w:val="auto"/>
          <w:sz w:val="21"/>
          <w:szCs w:val="21"/>
        </w:rPr>
        <w:t>质疑函制作说明：</w:t>
      </w:r>
    </w:p>
    <w:p w14:paraId="2331B3B8">
      <w:pPr>
        <w:pStyle w:val="32"/>
        <w:widowControl/>
        <w:spacing w:beforeAutospacing="0" w:afterAutospacing="0" w:line="360" w:lineRule="auto"/>
        <w:ind w:firstLine="480"/>
        <w:rPr>
          <w:rFonts w:ascii="宋体" w:hAnsi="宋体" w:eastAsia="宋体" w:cs="宋体"/>
          <w:color w:val="auto"/>
          <w:sz w:val="21"/>
          <w:szCs w:val="21"/>
        </w:rPr>
      </w:pPr>
      <w:r>
        <w:rPr>
          <w:rFonts w:hint="eastAsia" w:ascii="宋体" w:hAnsi="宋体" w:eastAsia="宋体" w:cs="宋体"/>
          <w:color w:val="auto"/>
          <w:sz w:val="21"/>
          <w:szCs w:val="21"/>
        </w:rPr>
        <w:t>1.供应商提出质疑时，应提交质疑函和必要的证明材料。</w:t>
      </w:r>
    </w:p>
    <w:p w14:paraId="02FDEAD6">
      <w:pPr>
        <w:pStyle w:val="32"/>
        <w:widowControl/>
        <w:spacing w:beforeAutospacing="0" w:afterAutospacing="0" w:line="360" w:lineRule="auto"/>
        <w:ind w:firstLine="480"/>
        <w:rPr>
          <w:rFonts w:ascii="宋体" w:hAnsi="宋体" w:eastAsia="宋体" w:cs="宋体"/>
          <w:color w:val="auto"/>
          <w:sz w:val="21"/>
          <w:szCs w:val="21"/>
        </w:rPr>
      </w:pPr>
      <w:r>
        <w:rPr>
          <w:rFonts w:hint="eastAsia" w:ascii="宋体" w:hAnsi="宋体" w:eastAsia="宋体" w:cs="宋体"/>
          <w:color w:val="auto"/>
          <w:sz w:val="21"/>
          <w:szCs w:val="21"/>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2DCC337">
      <w:pPr>
        <w:pStyle w:val="32"/>
        <w:widowControl/>
        <w:spacing w:beforeAutospacing="0" w:afterAutospacing="0" w:line="360" w:lineRule="auto"/>
        <w:ind w:firstLine="480"/>
        <w:rPr>
          <w:rFonts w:ascii="宋体" w:hAnsi="宋体" w:eastAsia="宋体" w:cs="宋体"/>
          <w:color w:val="auto"/>
          <w:sz w:val="21"/>
          <w:szCs w:val="21"/>
        </w:rPr>
      </w:pPr>
      <w:r>
        <w:rPr>
          <w:rFonts w:hint="eastAsia" w:ascii="宋体" w:hAnsi="宋体" w:eastAsia="宋体" w:cs="宋体"/>
          <w:color w:val="auto"/>
          <w:sz w:val="21"/>
          <w:szCs w:val="21"/>
        </w:rPr>
        <w:t>3.质疑供应商若对项目的某一分包进行质疑，质疑函中应列明具体分包号。</w:t>
      </w:r>
    </w:p>
    <w:p w14:paraId="091BC804">
      <w:pPr>
        <w:pStyle w:val="32"/>
        <w:widowControl/>
        <w:spacing w:beforeAutospacing="0" w:afterAutospacing="0" w:line="360" w:lineRule="auto"/>
        <w:ind w:firstLine="480"/>
        <w:rPr>
          <w:rFonts w:ascii="宋体" w:hAnsi="宋体" w:eastAsia="宋体" w:cs="宋体"/>
          <w:color w:val="auto"/>
          <w:sz w:val="21"/>
          <w:szCs w:val="21"/>
        </w:rPr>
      </w:pPr>
      <w:r>
        <w:rPr>
          <w:rFonts w:hint="eastAsia" w:ascii="宋体" w:hAnsi="宋体" w:eastAsia="宋体" w:cs="宋体"/>
          <w:color w:val="auto"/>
          <w:sz w:val="21"/>
          <w:szCs w:val="21"/>
        </w:rPr>
        <w:t>4.质疑函的质疑事项应具体、明确，并有必要的事实依据和法律依据。</w:t>
      </w:r>
    </w:p>
    <w:p w14:paraId="4B6DAD34">
      <w:pPr>
        <w:pStyle w:val="32"/>
        <w:widowControl/>
        <w:spacing w:beforeAutospacing="0" w:afterAutospacing="0" w:line="360" w:lineRule="auto"/>
        <w:ind w:firstLine="480"/>
        <w:rPr>
          <w:rFonts w:ascii="宋体" w:hAnsi="宋体" w:eastAsia="宋体" w:cs="宋体"/>
          <w:color w:val="auto"/>
          <w:sz w:val="21"/>
          <w:szCs w:val="21"/>
        </w:rPr>
      </w:pPr>
      <w:r>
        <w:rPr>
          <w:rFonts w:hint="eastAsia" w:ascii="宋体" w:hAnsi="宋体" w:eastAsia="宋体" w:cs="宋体"/>
          <w:color w:val="auto"/>
          <w:sz w:val="21"/>
          <w:szCs w:val="21"/>
        </w:rPr>
        <w:t>5.质疑函的质疑请求应与质疑事项相关。</w:t>
      </w:r>
    </w:p>
    <w:p w14:paraId="603B3C48">
      <w:pPr>
        <w:pStyle w:val="32"/>
        <w:widowControl/>
        <w:spacing w:beforeAutospacing="0" w:afterAutospacing="0" w:line="360" w:lineRule="auto"/>
        <w:ind w:firstLine="480"/>
        <w:rPr>
          <w:rFonts w:ascii="宋体" w:hAnsi="宋体" w:eastAsia="宋体" w:cs="宋体"/>
          <w:color w:val="auto"/>
          <w:sz w:val="21"/>
          <w:szCs w:val="21"/>
        </w:rPr>
      </w:pPr>
      <w:r>
        <w:rPr>
          <w:rFonts w:hint="eastAsia" w:ascii="宋体" w:hAnsi="宋体" w:eastAsia="宋体" w:cs="宋体"/>
          <w:color w:val="auto"/>
          <w:sz w:val="21"/>
          <w:szCs w:val="21"/>
        </w:rPr>
        <w:t>6.质疑供应商为自然人的，质疑函应由本人签字；质疑供应商为法人或者其他组织的，质疑函应由法定代表人、主要负责人，或者其授权代表签字或者盖章，并加盖公章。</w:t>
      </w:r>
    </w:p>
    <w:p w14:paraId="70BC1C2C">
      <w:pPr>
        <w:pStyle w:val="32"/>
        <w:spacing w:beforeAutospacing="0" w:afterAutospacing="0" w:line="360" w:lineRule="auto"/>
        <w:ind w:firstLine="420"/>
        <w:jc w:val="both"/>
        <w:rPr>
          <w:rFonts w:ascii="宋体" w:hAnsi="宋体" w:eastAsia="宋体" w:cs="宋体"/>
          <w:color w:val="auto"/>
          <w:sz w:val="21"/>
          <w:szCs w:val="21"/>
        </w:rPr>
      </w:pPr>
      <w:r>
        <w:rPr>
          <w:rFonts w:hint="eastAsia" w:ascii="宋体" w:hAnsi="宋体" w:eastAsia="宋体" w:cs="宋体"/>
          <w:color w:val="auto"/>
          <w:sz w:val="21"/>
          <w:szCs w:val="21"/>
        </w:rPr>
        <w:t> </w:t>
      </w:r>
    </w:p>
    <w:p w14:paraId="22E977D1">
      <w:pPr>
        <w:rPr>
          <w:color w:val="auto"/>
        </w:rPr>
      </w:pPr>
    </w:p>
    <w:sectPr>
      <w:headerReference r:id="rId4" w:type="first"/>
      <w:footerReference r:id="rId5" w:type="default"/>
      <w:headerReference r:id="rId3" w:type="even"/>
      <w:pgSz w:w="11906" w:h="16838"/>
      <w:pgMar w:top="1440" w:right="1800" w:bottom="1118" w:left="14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2812C">
    <w:pPr>
      <w:pStyle w:val="2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083CF6EF">
                          <w:pPr>
                            <w:pStyle w:val="22"/>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Kahsp/cAQAAsAMAAA4AAAAAAAAA&#10;AQAgAAAAHwEAAGRycy9lMm9Eb2MueG1sUEsFBgAAAAAGAAYAWQEAAG0FAAAAAA==&#10;">
              <v:fill on="f" focussize="0,0"/>
              <v:stroke on="f" weight="0.5pt"/>
              <v:imagedata o:title=""/>
              <o:lock v:ext="edit" aspectratio="f"/>
              <v:textbox inset="0mm,0mm,0mm,0mm" style="mso-fit-shape-to-text:t;">
                <w:txbxContent>
                  <w:p w14:paraId="083CF6EF">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A2675">
    <w:r>
      <mc:AlternateContent>
        <mc:Choice Requires="wps">
          <w:drawing>
            <wp:anchor distT="0" distB="0" distL="114300" distR="114300" simplePos="0" relativeHeight="25166336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矩形 1"/>
              <wp:cNvGraphicFramePr/>
              <a:graphic xmlns:a="http://schemas.openxmlformats.org/drawingml/2006/main">
                <a:graphicData uri="http://schemas.microsoft.com/office/word/2010/wordprocessingShape">
                  <wps:wsp>
                    <wps:cNvSpPr/>
                    <wps:spPr bwMode="auto">
                      <a:xfrm rot="20099998">
                        <a:off x="0" y="0"/>
                        <a:ext cx="5080000" cy="444500"/>
                      </a:xfrm>
                      <a:prstGeom prst="rect">
                        <a:avLst/>
                      </a:prstGeom>
                      <a:noFill/>
                      <a:ln>
                        <a:noFill/>
                      </a:ln>
                    </wps:spPr>
                    <wps:txbx>
                      <w:txbxContent>
                        <w:p w14:paraId="6F24C799">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盐城市公安局网安支队专用数据机房租用项目（2025-2028年度）</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200pt;height:35pt;width:400pt;rotation:-1638402f;z-index:251663360;mso-width-relative:page;mso-height-relative:page;" filled="f" stroked="f" coordsize="21600,21600" o:gfxdata="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kBivk1AAAAAoBAAAPAAAAAAAAAAEAIAAAACIAAABkcnMv&#10;ZG93bnJldi54bWxQSwECFAAUAAAACACHTuJAQ8UX8wcCAAAUBAAADgAAAAAAAAABACAAAAAjAQAA&#10;ZHJzL2Uyb0RvYy54bWxQSwUGAAAAAAYABgBZAQAAnAUAAAAA&#10;" adj="10800">
              <v:fill on="f" focussize="0,0"/>
              <v:stroke on="f"/>
              <v:imagedata o:title=""/>
              <o:lock v:ext="edit" aspectratio="f"/>
              <v:textpath on="f" fitpath="t" trim="t" xscale="f" string="" style="font-size:36pt;v-text-align:center;"/>
              <v:textbox inset="0mm,0mm,0mm,0mm">
                <w:txbxContent>
                  <w:p w14:paraId="6F24C799">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盐城市公安局网安支队专用数据机房租用项目（2025-2028年度）</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矩形 2"/>
              <wp:cNvGraphicFramePr/>
              <a:graphic xmlns:a="http://schemas.openxmlformats.org/drawingml/2006/main">
                <a:graphicData uri="http://schemas.microsoft.com/office/word/2010/wordprocessingShape">
                  <wps:wsp>
                    <wps:cNvSpPr/>
                    <wps:spPr bwMode="auto">
                      <a:xfrm rot="20099998">
                        <a:off x="0" y="0"/>
                        <a:ext cx="5080000" cy="444500"/>
                      </a:xfrm>
                      <a:prstGeom prst="rect">
                        <a:avLst/>
                      </a:prstGeom>
                      <a:noFill/>
                      <a:ln>
                        <a:noFill/>
                      </a:ln>
                    </wps:spPr>
                    <wps:txbx>
                      <w:txbxContent>
                        <w:p w14:paraId="0E58BD41">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盐城市公安局网安支队专用数据机房租用项目（2025-2028年度）</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400pt;height:35pt;width:400pt;rotation:-1638402f;z-index:251664384;mso-width-relative:page;mso-height-relative:page;" filled="f" stroked="f" coordsize="21600,21600" o:gfxdata="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RxO6vTAAAACgEAAA8AAAAAAAAAAQAgAAAAIgAAAGRycy9k&#10;b3ducmV2LnhtbFBLAQIUABQAAAAIAIdO4kCGnU6CBwIAABQEAAAOAAAAAAAAAAEAIAAAACIBAABk&#10;cnMvZTJvRG9jLnhtbFBLBQYAAAAABgAGAFkBAACbBQAAAAA=&#10;" adj="10800">
              <v:fill on="f" focussize="0,0"/>
              <v:stroke on="f"/>
              <v:imagedata o:title=""/>
              <o:lock v:ext="edit" aspectratio="f"/>
              <v:textpath on="f" fitpath="t" trim="t" xscale="f" string="" style="font-size:36pt;v-text-align:center;"/>
              <v:textbox inset="0mm,0mm,0mm,0mm">
                <w:txbxContent>
                  <w:p w14:paraId="0E58BD41">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盐城市公安局网安支队专用数据机房租用项目（2025-2028年度）</w:t>
                    </w: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矩形 3"/>
              <wp:cNvGraphicFramePr/>
              <a:graphic xmlns:a="http://schemas.openxmlformats.org/drawingml/2006/main">
                <a:graphicData uri="http://schemas.microsoft.com/office/word/2010/wordprocessingShape">
                  <wps:wsp>
                    <wps:cNvSpPr/>
                    <wps:spPr bwMode="auto">
                      <a:xfrm rot="20099998">
                        <a:off x="0" y="0"/>
                        <a:ext cx="5080000" cy="444500"/>
                      </a:xfrm>
                      <a:prstGeom prst="rect">
                        <a:avLst/>
                      </a:prstGeom>
                      <a:noFill/>
                      <a:ln>
                        <a:noFill/>
                      </a:ln>
                    </wps:spPr>
                    <wps:txbx>
                      <w:txbxContent>
                        <w:p w14:paraId="0BC0CA7C">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盐城市公安局网安支队专用数据机房租用项目（2025-2028年度）</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600pt;height:35pt;width:400pt;rotation:-1638402f;z-index:251665408;mso-width-relative:page;mso-height-relative:page;" filled="f" stroked="f" coordsize="21600,21600" o:gfxdata="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18GCq9QAAAAMAQAADwAAAAAAAAABACAAAAAiAAAAZHJz&#10;L2Rvd25yZXYueG1sUEsBAhQAFAAAAAgAh07iQPpXqRsIAgAAFAQAAA4AAAAAAAAAAQAgAAAAIwEA&#10;AGRycy9lMm9Eb2MueG1sUEsFBgAAAAAGAAYAWQEAAJ0FAAAAAA==&#10;" adj="10800">
              <v:fill on="f" focussize="0,0"/>
              <v:stroke on="f"/>
              <v:imagedata o:title=""/>
              <o:lock v:ext="edit" aspectratio="f"/>
              <v:textpath on="f" fitpath="t" trim="t" xscale="f" string="" style="font-size:36pt;v-text-align:center;"/>
              <v:textbox inset="0mm,0mm,0mm,0mm">
                <w:txbxContent>
                  <w:p w14:paraId="0BC0CA7C">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盐城市公安局网安支队专用数据机房租用项目（2025-2028年度）</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4BDD7">
    <w:r>
      <mc:AlternateContent>
        <mc:Choice Requires="wps">
          <w:drawing>
            <wp:anchor distT="0" distB="0" distL="114300" distR="114300" simplePos="0" relativeHeight="25166028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 name="矩形 4"/>
              <wp:cNvGraphicFramePr/>
              <a:graphic xmlns:a="http://schemas.openxmlformats.org/drawingml/2006/main">
                <a:graphicData uri="http://schemas.microsoft.com/office/word/2010/wordprocessingShape">
                  <wps:wsp>
                    <wps:cNvSpPr/>
                    <wps:spPr bwMode="auto">
                      <a:xfrm rot="20099998">
                        <a:off x="0" y="0"/>
                        <a:ext cx="5080000" cy="444500"/>
                      </a:xfrm>
                      <a:prstGeom prst="rect">
                        <a:avLst/>
                      </a:prstGeom>
                      <a:noFill/>
                      <a:ln>
                        <a:noFill/>
                      </a:ln>
                    </wps:spPr>
                    <wps:txbx>
                      <w:txbxContent>
                        <w:p w14:paraId="60BA06C0">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盐城市公安局网安支队专用数据机房租用项目（2025-2028年度）</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200pt;height:35pt;width:400pt;rotation:-1638402f;z-index:251660288;mso-width-relative:page;mso-height-relative:page;" filled="f" stroked="f" coordsize="21600,21600" o:gfxdata="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kBivk1AAAAAoBAAAPAAAAAAAAAAEAIAAAACIAAABkcnMv&#10;ZG93bnJldi54bWxQSwECFAAUAAAACACHTuJADCz8YAcCAAAUBAAADgAAAAAAAAABACAAAAAjAQAA&#10;ZHJzL2Uyb0RvYy54bWxQSwUGAAAAAAYABgBZAQAAnAUAAAAA&#10;" adj="10800">
              <v:fill on="f" focussize="0,0"/>
              <v:stroke on="f"/>
              <v:imagedata o:title=""/>
              <o:lock v:ext="edit" aspectratio="f"/>
              <v:textpath on="f" fitpath="t" trim="t" xscale="f" string="" style="font-size:36pt;v-text-align:center;"/>
              <v:textbox inset="0mm,0mm,0mm,0mm">
                <w:txbxContent>
                  <w:p w14:paraId="60BA06C0">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盐城市公安局网安支队专用数据机房租用项目（2025-2028年度）</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 name="矩形 5"/>
              <wp:cNvGraphicFramePr/>
              <a:graphic xmlns:a="http://schemas.openxmlformats.org/drawingml/2006/main">
                <a:graphicData uri="http://schemas.microsoft.com/office/word/2010/wordprocessingShape">
                  <wps:wsp>
                    <wps:cNvSpPr/>
                    <wps:spPr bwMode="auto">
                      <a:xfrm rot="20099998">
                        <a:off x="0" y="0"/>
                        <a:ext cx="5080000" cy="444500"/>
                      </a:xfrm>
                      <a:prstGeom prst="rect">
                        <a:avLst/>
                      </a:prstGeom>
                      <a:noFill/>
                      <a:ln>
                        <a:noFill/>
                      </a:ln>
                    </wps:spPr>
                    <wps:txbx>
                      <w:txbxContent>
                        <w:p w14:paraId="001E1DE5">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盐城市公安局网安支队专用数据机房租用项目（2025-2028年度）</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400pt;height:35pt;width:400pt;rotation:-1638402f;z-index:251661312;mso-width-relative:page;mso-height-relative:page;" filled="f" stroked="f" coordsize="21600,21600" o:gfxdata="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RxO6vTAAAACgEAAA8AAAAAAAAAAQAgAAAAIgAAAGRycy9k&#10;b3ducmV2LnhtbFBLAQIUABQAAAAIAIdO4kBw5hv5BwIAABQEAAAOAAAAAAAAAAEAIAAAACIBAABk&#10;cnMvZTJvRG9jLnhtbFBLBQYAAAAABgAGAFkBAACbBQAAAAA=&#10;" adj="10800">
              <v:fill on="f" focussize="0,0"/>
              <v:stroke on="f"/>
              <v:imagedata o:title=""/>
              <o:lock v:ext="edit" aspectratio="f"/>
              <v:textpath on="f" fitpath="t" trim="t" xscale="f" string="" style="font-size:36pt;v-text-align:center;"/>
              <v:textbox inset="0mm,0mm,0mm,0mm">
                <w:txbxContent>
                  <w:p w14:paraId="001E1DE5">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盐城市公安局网安支队专用数据机房租用项目（2025-2028年度）</w:t>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矩形 6"/>
              <wp:cNvGraphicFramePr/>
              <a:graphic xmlns:a="http://schemas.openxmlformats.org/drawingml/2006/main">
                <a:graphicData uri="http://schemas.microsoft.com/office/word/2010/wordprocessingShape">
                  <wps:wsp>
                    <wps:cNvSpPr/>
                    <wps:spPr bwMode="auto">
                      <a:xfrm rot="20099998">
                        <a:off x="0" y="0"/>
                        <a:ext cx="5080000" cy="444500"/>
                      </a:xfrm>
                      <a:prstGeom prst="rect">
                        <a:avLst/>
                      </a:prstGeom>
                      <a:noFill/>
                      <a:ln>
                        <a:noFill/>
                      </a:ln>
                    </wps:spPr>
                    <wps:txbx>
                      <w:txbxContent>
                        <w:p w14:paraId="0E46236C">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盐城市公安局网安支队专用数据机房租用项目（2025-2028年度）</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600pt;height:35pt;width:400pt;rotation:-1638402f;z-index:251662336;mso-width-relative:page;mso-height-relative:page;" filled="f" stroked="f" coordsize="21600,21600" o:gfxdata="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XwYKr1AAAAAwBAAAPAAAAAAAAAAEAIAAAACIAAABkcnMv&#10;ZG93bnJldi54bWxQSwECFAAUAAAACACHTuJAtb5CiAcCAAAUBAAADgAAAAAAAAABACAAAAAjAQAA&#10;ZHJzL2Uyb0RvYy54bWxQSwUGAAAAAAYABgBZAQAAnAUAAAAA&#10;" adj="10800">
              <v:fill on="f" focussize="0,0"/>
              <v:stroke on="f"/>
              <v:imagedata o:title=""/>
              <o:lock v:ext="edit" aspectratio="f"/>
              <v:textpath on="f" fitpath="t" trim="t" xscale="f" string="" style="font-size:36pt;v-text-align:center;"/>
              <v:textbox inset="0mm,0mm,0mm,0mm">
                <w:txbxContent>
                  <w:p w14:paraId="0E46236C">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盐城市公安局网安支队专用数据机房租用项目（2025-2028年度）</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2"/>
      <w:numFmt w:val="japaneseCounting"/>
      <w:pStyle w:val="200"/>
      <w:lvlText w:val="%1、"/>
      <w:lvlJc w:val="left"/>
      <w:pPr>
        <w:ind w:left="422" w:firstLine="0"/>
      </w:pPr>
      <w:rPr>
        <w:b/>
      </w:rPr>
    </w:lvl>
    <w:lvl w:ilvl="1" w:tentative="0">
      <w:start w:val="1"/>
      <w:numFmt w:val="lowerLetter"/>
      <w:lvlText w:val="%2)"/>
      <w:lvlJc w:val="left"/>
      <w:pPr>
        <w:ind w:left="842" w:firstLine="0"/>
      </w:pPr>
    </w:lvl>
    <w:lvl w:ilvl="2" w:tentative="0">
      <w:start w:val="1"/>
      <w:numFmt w:val="lowerRoman"/>
      <w:lvlText w:val="%3."/>
      <w:lvlJc w:val="left"/>
      <w:pPr>
        <w:ind w:left="1262" w:firstLine="0"/>
      </w:pPr>
    </w:lvl>
    <w:lvl w:ilvl="3" w:tentative="0">
      <w:start w:val="1"/>
      <w:numFmt w:val="decimal"/>
      <w:lvlText w:val="%4."/>
      <w:lvlJc w:val="left"/>
      <w:pPr>
        <w:ind w:left="1682" w:firstLine="0"/>
      </w:pPr>
    </w:lvl>
    <w:lvl w:ilvl="4" w:tentative="0">
      <w:start w:val="1"/>
      <w:numFmt w:val="lowerLetter"/>
      <w:lvlText w:val="%5)"/>
      <w:lvlJc w:val="left"/>
      <w:pPr>
        <w:ind w:left="2102" w:firstLine="0"/>
      </w:pPr>
    </w:lvl>
    <w:lvl w:ilvl="5" w:tentative="0">
      <w:start w:val="1"/>
      <w:numFmt w:val="lowerRoman"/>
      <w:lvlText w:val="%6."/>
      <w:lvlJc w:val="left"/>
      <w:pPr>
        <w:ind w:left="2522" w:firstLine="0"/>
      </w:pPr>
    </w:lvl>
    <w:lvl w:ilvl="6" w:tentative="0">
      <w:start w:val="1"/>
      <w:numFmt w:val="decimal"/>
      <w:lvlText w:val="%7."/>
      <w:lvlJc w:val="left"/>
      <w:pPr>
        <w:ind w:left="2942" w:firstLine="0"/>
      </w:pPr>
    </w:lvl>
    <w:lvl w:ilvl="7" w:tentative="0">
      <w:start w:val="1"/>
      <w:numFmt w:val="lowerLetter"/>
      <w:lvlText w:val="%8)"/>
      <w:lvlJc w:val="left"/>
      <w:pPr>
        <w:ind w:left="3362" w:firstLine="0"/>
      </w:pPr>
    </w:lvl>
    <w:lvl w:ilvl="8" w:tentative="0">
      <w:start w:val="1"/>
      <w:numFmt w:val="lowerRoman"/>
      <w:lvlText w:val="%9."/>
      <w:lvlJc w:val="left"/>
      <w:pPr>
        <w:ind w:left="3782" w:firstLine="0"/>
      </w:pPr>
    </w:lvl>
  </w:abstractNum>
  <w:abstractNum w:abstractNumId="4">
    <w:nsid w:val="0053208E"/>
    <w:multiLevelType w:val="multilevel"/>
    <w:tmpl w:val="0053208E"/>
    <w:lvl w:ilvl="0" w:tentative="0">
      <w:start w:val="1"/>
      <w:numFmt w:val="decimal"/>
      <w:pStyle w:val="5"/>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5">
    <w:nsid w:val="0248C179"/>
    <w:multiLevelType w:val="multilevel"/>
    <w:tmpl w:val="0248C17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1"/>
      <w:numFmt w:val="decimal"/>
      <w:lvlText w:val="%1"/>
      <w:lvlJc w:val="left"/>
      <w:pPr>
        <w:tabs>
          <w:tab w:val="left" w:pos="420"/>
        </w:tabs>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A8F537B"/>
    <w:multiLevelType w:val="multilevel"/>
    <w:tmpl w:val="2A8F537B"/>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59ADCABA"/>
    <w:multiLevelType w:val="multilevel"/>
    <w:tmpl w:val="59ADCABA"/>
    <w:lvl w:ilvl="0" w:tentative="0">
      <w:start w:val="34"/>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A241D34"/>
    <w:multiLevelType w:val="multilevel"/>
    <w:tmpl w:val="5A241D3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2183CF9"/>
    <w:multiLevelType w:val="multilevel"/>
    <w:tmpl w:val="72183CF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DE7BC3"/>
    <w:rsid w:val="1C290E59"/>
    <w:rsid w:val="2E382087"/>
    <w:rsid w:val="2F572E4F"/>
    <w:rsid w:val="3F4758D0"/>
    <w:rsid w:val="3FB157F6"/>
    <w:rsid w:val="40A07C8F"/>
    <w:rsid w:val="55DB1E34"/>
    <w:rsid w:val="6A57789B"/>
    <w:rsid w:val="79CE505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rPr>
  </w:style>
  <w:style w:type="paragraph" w:styleId="3">
    <w:name w:val="heading 1"/>
    <w:basedOn w:val="1"/>
    <w:next w:val="1"/>
    <w:qFormat/>
    <w:uiPriority w:val="0"/>
    <w:pPr>
      <w:keepNext/>
      <w:keepLines/>
      <w:spacing w:line="480" w:lineRule="auto"/>
      <w:ind w:left="425" w:firstLine="1"/>
      <w:outlineLvl w:val="0"/>
    </w:pPr>
    <w:rPr>
      <w:b/>
      <w:bCs/>
      <w:color w:val="FF0000"/>
    </w:rPr>
  </w:style>
  <w:style w:type="paragraph" w:styleId="4">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5">
    <w:name w:val="heading 3"/>
    <w:basedOn w:val="1"/>
    <w:next w:val="1"/>
    <w:qFormat/>
    <w:uiPriority w:val="0"/>
    <w:pPr>
      <w:keepNext/>
      <w:keepLines/>
      <w:numPr>
        <w:ilvl w:val="0"/>
        <w:numId w:val="1"/>
      </w:numPr>
      <w:spacing w:line="480" w:lineRule="auto"/>
      <w:ind w:firstLine="0"/>
      <w:outlineLvl w:val="2"/>
    </w:pPr>
    <w:rPr>
      <w:b/>
      <w:bCs/>
      <w:color w:val="FF0000"/>
    </w:rPr>
  </w:style>
  <w:style w:type="paragraph" w:styleId="6">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eastAsia="en-US"/>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Indent"/>
    <w:basedOn w:val="1"/>
    <w:semiHidden/>
    <w:qFormat/>
    <w:uiPriority w:val="0"/>
    <w:pPr>
      <w:spacing w:line="440" w:lineRule="exact"/>
      <w:ind w:firstLine="720"/>
    </w:pPr>
    <w:rPr>
      <w:sz w:val="36"/>
    </w:rPr>
  </w:style>
  <w:style w:type="paragraph" w:styleId="16">
    <w:name w:val="Block Text"/>
    <w:basedOn w:val="1"/>
    <w:unhideWhenUsed/>
    <w:qFormat/>
    <w:uiPriority w:val="99"/>
    <w:pPr>
      <w:widowControl/>
      <w:ind w:left="567" w:right="454" w:firstLine="498"/>
      <w:jc w:val="left"/>
    </w:pPr>
    <w:rPr>
      <w:rFonts w:ascii="仿宋_GB2312" w:eastAsia="仿宋_GB2312"/>
      <w:sz w:val="30"/>
      <w:szCs w:val="2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ascii="宋体" w:hAnsi="Courier New" w:eastAsia="宋体" w:cs="Courier New"/>
      <w:szCs w:val="21"/>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7"/>
    <w:semiHidden/>
    <w:unhideWhenUsed/>
    <w:qFormat/>
    <w:uiPriority w:val="99"/>
    <w:pPr>
      <w:spacing w:after="0" w:line="240" w:lineRule="auto"/>
    </w:pPr>
    <w:rPr>
      <w:sz w:val="20"/>
    </w:rPr>
  </w:style>
  <w:style w:type="paragraph" w:styleId="22">
    <w:name w:val="footer"/>
    <w:basedOn w:val="1"/>
    <w:link w:val="194"/>
    <w:qFormat/>
    <w:uiPriority w:val="0"/>
    <w:pPr>
      <w:tabs>
        <w:tab w:val="center" w:pos="4153"/>
        <w:tab w:val="right" w:pos="8306"/>
      </w:tabs>
      <w:jc w:val="left"/>
    </w:pPr>
    <w:rPr>
      <w:sz w:val="18"/>
      <w:szCs w:val="18"/>
    </w:rPr>
  </w:style>
  <w:style w:type="paragraph" w:styleId="23">
    <w:name w:val="header"/>
    <w:basedOn w:val="1"/>
    <w:link w:val="193"/>
    <w:qFormat/>
    <w:uiPriority w:val="0"/>
    <w:pPr>
      <w:pBdr>
        <w:bottom w:val="single" w:color="auto" w:sz="6" w:space="1"/>
      </w:pBdr>
      <w:tabs>
        <w:tab w:val="center" w:pos="4153"/>
        <w:tab w:val="right" w:pos="8306"/>
      </w:tabs>
      <w:jc w:val="center"/>
    </w:pPr>
    <w:rPr>
      <w:sz w:val="18"/>
      <w:szCs w:val="18"/>
    </w:r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3"/>
    <w:qFormat/>
    <w:uiPriority w:val="11"/>
    <w:pPr>
      <w:spacing w:before="200" w:after="200"/>
    </w:pPr>
    <w:rPr>
      <w:sz w:val="24"/>
      <w:szCs w:val="24"/>
    </w:rPr>
  </w:style>
  <w:style w:type="paragraph" w:styleId="27">
    <w:name w:val="footnote text"/>
    <w:basedOn w:val="1"/>
    <w:link w:val="186"/>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pPr>
      <w:spacing w:beforeAutospacing="1" w:afterAutospacing="1"/>
      <w:jc w:val="left"/>
    </w:pPr>
    <w:rPr>
      <w:rFonts w:cs="Times New Roman"/>
      <w:sz w:val="24"/>
    </w:rPr>
  </w:style>
  <w:style w:type="paragraph" w:styleId="33">
    <w:name w:val="Title"/>
    <w:basedOn w:val="1"/>
    <w:next w:val="1"/>
    <w:link w:val="52"/>
    <w:qFormat/>
    <w:uiPriority w:val="10"/>
    <w:pPr>
      <w:spacing w:before="300" w:after="200"/>
      <w:contextualSpacing/>
    </w:pPr>
    <w:rPr>
      <w:sz w:val="48"/>
      <w:szCs w:val="48"/>
    </w:rPr>
  </w:style>
  <w:style w:type="paragraph" w:styleId="34">
    <w:name w:val="Body Text First Indent"/>
    <w:basedOn w:val="2"/>
    <w:qFormat/>
    <w:uiPriority w:val="0"/>
    <w:pPr>
      <w:spacing w:line="360" w:lineRule="auto"/>
      <w:ind w:firstLine="200"/>
    </w:pPr>
    <w:rPr>
      <w:rFonts w:ascii="仿宋_GB2312" w:eastAsia="仿宋_GB2312"/>
      <w:sz w:val="30"/>
      <w:szCs w:val="30"/>
    </w:rPr>
  </w:style>
  <w:style w:type="table" w:styleId="36">
    <w:name w:val="Table Grid"/>
    <w:basedOn w:val="3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basedOn w:val="37"/>
    <w:semiHidden/>
    <w:unhideWhenUsed/>
    <w:qFormat/>
    <w:uiPriority w:val="99"/>
    <w:rPr>
      <w:vertAlign w:val="superscript"/>
    </w:rPr>
  </w:style>
  <w:style w:type="character" w:styleId="39">
    <w:name w:val="Hyperlink"/>
    <w:unhideWhenUsed/>
    <w:qFormat/>
    <w:uiPriority w:val="99"/>
    <w:rPr>
      <w:color w:val="0563C1" w:themeColor="hyperlink"/>
      <w:u w:val="single"/>
      <w14:textFill>
        <w14:solidFill>
          <w14:schemeClr w14:val="hlink"/>
        </w14:solidFill>
      </w14:textFill>
    </w:rPr>
  </w:style>
  <w:style w:type="character" w:styleId="40">
    <w:name w:val="footnote reference"/>
    <w:basedOn w:val="37"/>
    <w:unhideWhenUsed/>
    <w:qFormat/>
    <w:uiPriority w:val="99"/>
    <w:rPr>
      <w:vertAlign w:val="superscript"/>
    </w:rPr>
  </w:style>
  <w:style w:type="character" w:customStyle="1" w:styleId="41">
    <w:name w:val="Heading 1 Char"/>
    <w:basedOn w:val="37"/>
    <w:qFormat/>
    <w:uiPriority w:val="9"/>
    <w:rPr>
      <w:rFonts w:ascii="Arial" w:hAnsi="Arial" w:eastAsia="Arial" w:cs="Arial"/>
      <w:sz w:val="40"/>
      <w:szCs w:val="40"/>
    </w:rPr>
  </w:style>
  <w:style w:type="character" w:customStyle="1" w:styleId="42">
    <w:name w:val="Heading 2 Char"/>
    <w:basedOn w:val="37"/>
    <w:qFormat/>
    <w:uiPriority w:val="9"/>
    <w:rPr>
      <w:rFonts w:ascii="Arial" w:hAnsi="Arial" w:eastAsia="Arial" w:cs="Arial"/>
      <w:sz w:val="34"/>
    </w:rPr>
  </w:style>
  <w:style w:type="character" w:customStyle="1" w:styleId="43">
    <w:name w:val="Heading 3 Char"/>
    <w:basedOn w:val="37"/>
    <w:qFormat/>
    <w:uiPriority w:val="9"/>
    <w:rPr>
      <w:rFonts w:ascii="Arial" w:hAnsi="Arial" w:eastAsia="Arial" w:cs="Arial"/>
      <w:sz w:val="30"/>
      <w:szCs w:val="30"/>
    </w:rPr>
  </w:style>
  <w:style w:type="character" w:customStyle="1" w:styleId="44">
    <w:name w:val="Heading 4 Char"/>
    <w:basedOn w:val="37"/>
    <w:link w:val="6"/>
    <w:qFormat/>
    <w:uiPriority w:val="9"/>
    <w:rPr>
      <w:rFonts w:ascii="Arial" w:hAnsi="Arial" w:eastAsia="Arial" w:cs="Arial"/>
      <w:b/>
      <w:bCs/>
      <w:sz w:val="26"/>
      <w:szCs w:val="26"/>
    </w:rPr>
  </w:style>
  <w:style w:type="character" w:customStyle="1" w:styleId="45">
    <w:name w:val="Heading 5 Char"/>
    <w:basedOn w:val="37"/>
    <w:link w:val="7"/>
    <w:qFormat/>
    <w:uiPriority w:val="9"/>
    <w:rPr>
      <w:rFonts w:ascii="Arial" w:hAnsi="Arial" w:eastAsia="Arial" w:cs="Arial"/>
      <w:b/>
      <w:bCs/>
      <w:sz w:val="24"/>
      <w:szCs w:val="24"/>
    </w:rPr>
  </w:style>
  <w:style w:type="character" w:customStyle="1" w:styleId="46">
    <w:name w:val="Heading 6 Char"/>
    <w:basedOn w:val="37"/>
    <w:link w:val="8"/>
    <w:qFormat/>
    <w:uiPriority w:val="9"/>
    <w:rPr>
      <w:rFonts w:ascii="Arial" w:hAnsi="Arial" w:eastAsia="Arial" w:cs="Arial"/>
      <w:b/>
      <w:bCs/>
      <w:sz w:val="22"/>
      <w:szCs w:val="22"/>
    </w:rPr>
  </w:style>
  <w:style w:type="character" w:customStyle="1" w:styleId="47">
    <w:name w:val="Heading 7 Char"/>
    <w:basedOn w:val="37"/>
    <w:link w:val="9"/>
    <w:qFormat/>
    <w:uiPriority w:val="9"/>
    <w:rPr>
      <w:rFonts w:ascii="Arial" w:hAnsi="Arial" w:eastAsia="Arial" w:cs="Arial"/>
      <w:b/>
      <w:bCs/>
      <w:i/>
      <w:iCs/>
      <w:sz w:val="22"/>
      <w:szCs w:val="22"/>
    </w:rPr>
  </w:style>
  <w:style w:type="character" w:customStyle="1" w:styleId="48">
    <w:name w:val="Heading 8 Char"/>
    <w:basedOn w:val="37"/>
    <w:link w:val="10"/>
    <w:qFormat/>
    <w:uiPriority w:val="9"/>
    <w:rPr>
      <w:rFonts w:ascii="Arial" w:hAnsi="Arial" w:eastAsia="Arial" w:cs="Arial"/>
      <w:i/>
      <w:iCs/>
      <w:sz w:val="22"/>
      <w:szCs w:val="22"/>
    </w:rPr>
  </w:style>
  <w:style w:type="character" w:customStyle="1" w:styleId="49">
    <w:name w:val="Heading 9 Char"/>
    <w:basedOn w:val="37"/>
    <w:link w:val="11"/>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basedOn w:val="37"/>
    <w:link w:val="33"/>
    <w:qFormat/>
    <w:uiPriority w:val="10"/>
    <w:rPr>
      <w:sz w:val="48"/>
      <w:szCs w:val="48"/>
    </w:rPr>
  </w:style>
  <w:style w:type="character" w:customStyle="1" w:styleId="53">
    <w:name w:val="Subtitle Char"/>
    <w:basedOn w:val="37"/>
    <w:link w:val="26"/>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basedOn w:val="37"/>
    <w:qFormat/>
    <w:uiPriority w:val="99"/>
  </w:style>
  <w:style w:type="character" w:customStyle="1" w:styleId="59">
    <w:name w:val="Footer Char"/>
    <w:basedOn w:val="37"/>
    <w:qFormat/>
    <w:uiPriority w:val="99"/>
  </w:style>
  <w:style w:type="character" w:customStyle="1" w:styleId="60">
    <w:name w:val="Caption Char"/>
    <w:qFormat/>
    <w:uiPriority w:val="99"/>
  </w:style>
  <w:style w:type="table" w:customStyle="1" w:styleId="61">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9">
    <w:name w:val="Grid Table 1 Light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0">
    <w:name w:val="Grid Table 1 Light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1">
    <w:name w:val="Grid Table 1 Light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2">
    <w:name w:val="Grid Table 1 Light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3">
    <w:name w:val="Grid Table 1 Light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4">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6">
    <w:name w:val="Grid Table 2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7">
    <w:name w:val="Grid Table 2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8">
    <w:name w:val="Grid Table 2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9">
    <w:name w:val="Grid Table 2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0">
    <w:name w:val="Grid Table 2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1">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3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3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3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3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3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5"/>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0">
    <w:name w:val="Grid Table 4 - Accent 2"/>
    <w:basedOn w:val="35"/>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4 - Accent 3"/>
    <w:basedOn w:val="35"/>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4 - Accent 4"/>
    <w:basedOn w:val="35"/>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4 - Accent 5"/>
    <w:basedOn w:val="35"/>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4 - Accent 6"/>
    <w:basedOn w:val="35"/>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7">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8">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9">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0">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1">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2">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5"/>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5"/>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5"/>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8">
    <w:name w:val="Grid Table 6 Colorful - Accent 6"/>
    <w:basedOn w:val="35"/>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9">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5"/>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5"/>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5"/>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5"/>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5"/>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7 Colorful - Accent 6"/>
    <w:basedOn w:val="35"/>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6">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5"/>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8">
    <w:name w:val="List Table 1 Light - Accent 2"/>
    <w:basedOn w:val="35"/>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9">
    <w:name w:val="List Table 1 Light - Accent 3"/>
    <w:basedOn w:val="35"/>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0">
    <w:name w:val="List Table 1 Light - Accent 4"/>
    <w:basedOn w:val="35"/>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1">
    <w:name w:val="List Table 1 Light - Accent 5"/>
    <w:basedOn w:val="35"/>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2">
    <w:name w:val="List Table 1 Light - Accent 6"/>
    <w:basedOn w:val="35"/>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3">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5"/>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5">
    <w:name w:val="List Table 2 - Accent 2"/>
    <w:basedOn w:val="35"/>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6">
    <w:name w:val="List Table 2 - Accent 3"/>
    <w:basedOn w:val="35"/>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7">
    <w:name w:val="List Table 2 - Accent 4"/>
    <w:basedOn w:val="35"/>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8">
    <w:name w:val="List Table 2 - Accent 5"/>
    <w:basedOn w:val="35"/>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9">
    <w:name w:val="List Table 2 - Accent 6"/>
    <w:basedOn w:val="35"/>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0">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5"/>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2">
    <w:name w:val="List Table 3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3">
    <w:name w:val="List Table 3 - Accent 3"/>
    <w:basedOn w:val="35"/>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4">
    <w:name w:val="List Table 3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5">
    <w:name w:val="List Table 3 - Accent 5"/>
    <w:basedOn w:val="35"/>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6">
    <w:name w:val="List Table 3 - Accent 6"/>
    <w:basedOn w:val="35"/>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7">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5"/>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9">
    <w:name w:val="List Table 4 - Accent 2"/>
    <w:basedOn w:val="35"/>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0">
    <w:name w:val="List Table 4 - Accent 3"/>
    <w:basedOn w:val="35"/>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1">
    <w:name w:val="List Table 4 - Accent 4"/>
    <w:basedOn w:val="35"/>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2">
    <w:name w:val="List Table 4 - Accent 5"/>
    <w:basedOn w:val="35"/>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3">
    <w:name w:val="List Table 4 - Accent 6"/>
    <w:basedOn w:val="35"/>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4">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5"/>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6">
    <w:name w:val="List Table 5 Dark - Accent 2"/>
    <w:basedOn w:val="35"/>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7">
    <w:name w:val="List Table 5 Dark - Accent 3"/>
    <w:basedOn w:val="35"/>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8">
    <w:name w:val="List Table 5 Dark - Accent 4"/>
    <w:basedOn w:val="35"/>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9">
    <w:name w:val="List Table 5 Dark - Accent 5"/>
    <w:basedOn w:val="35"/>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0">
    <w:name w:val="List Table 5 Dark - Accent 6"/>
    <w:basedOn w:val="35"/>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1">
    <w:name w:val="List Table 6 Colorful"/>
    <w:basedOn w:val="35"/>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5"/>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3">
    <w:name w:val="List Table 6 Colorful - Accent 2"/>
    <w:basedOn w:val="35"/>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5"/>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5"/>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5"/>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5"/>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5"/>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5"/>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7 Colorful - Accent 2"/>
    <w:basedOn w:val="35"/>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5"/>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5"/>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5"/>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5"/>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5"/>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5"/>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7">
    <w:name w:val="Lined - Accent 2"/>
    <w:basedOn w:val="35"/>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8">
    <w:name w:val="Lined - Accent 3"/>
    <w:basedOn w:val="35"/>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9">
    <w:name w:val="Lined - Accent 4"/>
    <w:basedOn w:val="35"/>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0">
    <w:name w:val="Lined - Accent 5"/>
    <w:basedOn w:val="35"/>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1">
    <w:name w:val="Lined - Accent 6"/>
    <w:basedOn w:val="35"/>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2">
    <w:name w:val="Bordered &amp; Lined - Accent"/>
    <w:basedOn w:val="35"/>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5"/>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Bordered &amp; Lined - Accent 2"/>
    <w:basedOn w:val="35"/>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Bordered &amp; Lined - Accent 3"/>
    <w:basedOn w:val="35"/>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Bordered &amp; Lined - Accent 4"/>
    <w:basedOn w:val="35"/>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Bordered &amp; Lined - Accent 5"/>
    <w:basedOn w:val="35"/>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Bordered &amp; Lined - Accent 6"/>
    <w:basedOn w:val="35"/>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w:basedOn w:val="35"/>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5"/>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1">
    <w:name w:val="Bordered - Accent 2"/>
    <w:basedOn w:val="35"/>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2">
    <w:name w:val="Bordered - Accent 3"/>
    <w:basedOn w:val="35"/>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3">
    <w:name w:val="Bordered - Accent 4"/>
    <w:basedOn w:val="35"/>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4">
    <w:name w:val="Bordered - Accent 5"/>
    <w:basedOn w:val="35"/>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5">
    <w:name w:val="Bordered - Accent 6"/>
    <w:basedOn w:val="35"/>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6">
    <w:name w:val="Footnote Text Char"/>
    <w:link w:val="27"/>
    <w:uiPriority w:val="99"/>
    <w:rPr>
      <w:sz w:val="18"/>
    </w:rPr>
  </w:style>
  <w:style w:type="character" w:customStyle="1" w:styleId="187">
    <w:name w:val="Endnote Text Char"/>
    <w:link w:val="21"/>
    <w:uiPriority w:val="99"/>
    <w:rPr>
      <w:sz w:val="20"/>
    </w:rPr>
  </w:style>
  <w:style w:type="paragraph" w:customStyle="1" w:styleId="188">
    <w:name w:val="TOC Heading"/>
    <w:unhideWhenUsed/>
    <w:uiPriority w:val="39"/>
    <w:rPr>
      <w:rFonts w:hint="default" w:ascii="Times New Roman" w:hAnsi="Times New Roman" w:eastAsia="宋体" w:cs="Times New Roman"/>
    </w:rPr>
  </w:style>
  <w:style w:type="paragraph" w:customStyle="1" w:styleId="189">
    <w:name w:val="Default"/>
    <w:basedOn w:val="1"/>
    <w:semiHidden/>
    <w:qFormat/>
    <w:uiPriority w:val="0"/>
    <w:pPr>
      <w:jc w:val="left"/>
    </w:pPr>
    <w:rPr>
      <w:rFonts w:ascii="宋体" w:hAnsi="Calibri" w:cs="宋体"/>
      <w:color w:val="000000"/>
      <w:sz w:val="24"/>
    </w:rPr>
  </w:style>
  <w:style w:type="paragraph" w:customStyle="1" w:styleId="190">
    <w:name w:val="一级条标题"/>
    <w:basedOn w:val="191"/>
    <w:next w:val="19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91">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rPr>
  </w:style>
  <w:style w:type="paragraph" w:customStyle="1" w:styleId="192">
    <w:name w:val="段"/>
    <w:next w:val="1"/>
    <w:qFormat/>
    <w:uiPriority w:val="0"/>
    <w:pPr>
      <w:tabs>
        <w:tab w:val="center" w:pos="4201"/>
        <w:tab w:val="right" w:leader="dot" w:pos="9298"/>
      </w:tabs>
      <w:ind w:firstLine="420"/>
      <w:jc w:val="both"/>
    </w:pPr>
    <w:rPr>
      <w:rFonts w:hint="default" w:ascii="宋体" w:hAnsi="Times New Roman" w:eastAsia="宋体" w:cs="Times New Roman"/>
      <w:sz w:val="21"/>
    </w:rPr>
  </w:style>
  <w:style w:type="character" w:customStyle="1" w:styleId="193">
    <w:name w:val="页眉 Char"/>
    <w:basedOn w:val="37"/>
    <w:link w:val="23"/>
    <w:qFormat/>
    <w:uiPriority w:val="0"/>
    <w:rPr>
      <w:rFonts w:asciiTheme="minorHAnsi" w:hAnsiTheme="minorHAnsi" w:eastAsiaTheme="minorEastAsia" w:cstheme="minorBidi"/>
      <w:sz w:val="18"/>
      <w:szCs w:val="18"/>
    </w:rPr>
  </w:style>
  <w:style w:type="character" w:customStyle="1" w:styleId="194">
    <w:name w:val="页脚 Char"/>
    <w:basedOn w:val="37"/>
    <w:link w:val="22"/>
    <w:qFormat/>
    <w:uiPriority w:val="0"/>
    <w:rPr>
      <w:rFonts w:asciiTheme="minorHAnsi" w:hAnsiTheme="minorHAnsi" w:eastAsiaTheme="minorEastAsia" w:cstheme="minorBidi"/>
      <w:sz w:val="18"/>
      <w:szCs w:val="18"/>
    </w:rPr>
  </w:style>
  <w:style w:type="paragraph" w:customStyle="1" w:styleId="195">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196">
    <w:name w:val="正文首行缩进 21"/>
    <w:basedOn w:val="15"/>
    <w:qFormat/>
    <w:uiPriority w:val="0"/>
    <w:pPr>
      <w:ind w:firstLine="420"/>
    </w:pPr>
  </w:style>
  <w:style w:type="paragraph" w:customStyle="1" w:styleId="197">
    <w:name w:val="正文文本缩进1"/>
    <w:basedOn w:val="1"/>
    <w:qFormat/>
    <w:uiPriority w:val="0"/>
    <w:pPr>
      <w:spacing w:after="120"/>
      <w:ind w:left="420"/>
    </w:pPr>
  </w:style>
  <w:style w:type="character" w:customStyle="1" w:styleId="198">
    <w:name w:val="custom-tag-placeholder-class"/>
    <w:basedOn w:val="37"/>
    <w:qFormat/>
    <w:uiPriority w:val="0"/>
  </w:style>
  <w:style w:type="paragraph" w:customStyle="1" w:styleId="199">
    <w:name w:val="列表段落1"/>
    <w:basedOn w:val="1"/>
    <w:qFormat/>
    <w:uiPriority w:val="99"/>
    <w:pPr>
      <w:ind w:firstLine="420"/>
    </w:pPr>
    <w:rPr>
      <w:rFonts w:eastAsia="宋体"/>
    </w:rPr>
  </w:style>
  <w:style w:type="paragraph" w:customStyle="1" w:styleId="200">
    <w:name w:val="ListBullet2"/>
    <w:basedOn w:val="1"/>
    <w:qFormat/>
    <w:uiPriority w:val="0"/>
    <w:pPr>
      <w:numPr>
        <w:ilvl w:val="0"/>
        <w:numId w:val="2"/>
      </w:numPr>
      <w:tabs>
        <w:tab w:val="decimal" w:pos="780"/>
      </w:tabs>
      <w:ind w:left="857" w:hanging="435"/>
    </w:pPr>
  </w:style>
  <w:style w:type="paragraph" w:customStyle="1" w:styleId="201">
    <w:name w:val="null3"/>
    <w:hidden/>
    <w:qFormat/>
    <w:uiPriority w:val="0"/>
    <w:rPr>
      <w:rFonts w:hint="eastAsia" w:asciiTheme="minorHAnsi" w:hAnsiTheme="minorHAnsi" w:eastAsiaTheme="minorEastAsia" w:cstheme="minorBidi"/>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60</Pages>
  <Words>4395</Words>
  <Characters>4748</Characters>
  <TotalTime>0</TotalTime>
  <ScaleCrop>false</ScaleCrop>
  <LinksUpToDate>false</LinksUpToDate>
  <CharactersWithSpaces>4886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2025-12-30T02:27:00Z</dcterms:created>
  <dc:creator>正式环境陈艳测试账号</dc:creator>
  <cp:lastModifiedBy>独一无二</cp:lastModifiedBy>
  <dcterms:modified xsi:type="dcterms:W3CDTF">2025-12-31T02:10:04Z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F5CE9F83AE59401A95422CF5CF9C8554_13</vt:lpwstr>
  </property>
  <property fmtid="{D5CDD505-2E9C-101B-9397-08002B2CF9AE}" pid="3" name="KSOProductBuildVer">
    <vt:lpwstr>2052-12.1.0.24034</vt:lpwstr>
  </property>
  <property fmtid="{D5CDD505-2E9C-101B-9397-08002B2CF9AE}" pid="4" name="KSOTemplateDocerSaveRecord">
    <vt:lpwstr>eyJoZGlkIjoiODJiM2U5MjI1NDA3OWM2Y2U4MjIxNGNkN2MwNDg4NzYiLCJ1c2VySWQiOiIxNzY4MTY0NTYwIn0=</vt:lpwstr>
  </property>
</Properties>
</file>